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F577A">
      <w:pPr>
        <w:bidi w:val="0"/>
        <w:rPr>
          <w:rFonts w:hint="eastAsia"/>
        </w:rPr>
      </w:pPr>
      <w:bookmarkStart w:id="5" w:name="_GoBack"/>
      <w:bookmarkEnd w:id="5"/>
      <w:r>
        <w:rPr>
          <w:rFonts w:hint="eastAsia"/>
        </w:rPr>
        <w:t>赛题汇总</w:t>
      </w:r>
    </w:p>
    <w:tbl>
      <w:tblPr>
        <w:tblStyle w:val="4"/>
        <w:tblW w:w="9022" w:type="dxa"/>
        <w:jc w:val="center"/>
        <w:tblLayout w:type="autofit"/>
        <w:tblCellMar>
          <w:top w:w="0" w:type="dxa"/>
          <w:left w:w="108" w:type="dxa"/>
          <w:bottom w:w="0" w:type="dxa"/>
          <w:right w:w="108" w:type="dxa"/>
        </w:tblCellMar>
      </w:tblPr>
      <w:tblGrid>
        <w:gridCol w:w="1909"/>
        <w:gridCol w:w="737"/>
        <w:gridCol w:w="6376"/>
      </w:tblGrid>
      <w:tr w14:paraId="5B5D0FFD">
        <w:tblPrEx>
          <w:tblCellMar>
            <w:top w:w="0" w:type="dxa"/>
            <w:left w:w="108" w:type="dxa"/>
            <w:bottom w:w="0" w:type="dxa"/>
            <w:right w:w="108" w:type="dxa"/>
          </w:tblCellMar>
        </w:tblPrEx>
        <w:trPr>
          <w:trHeight w:val="407" w:hRule="atLeast"/>
          <w:tblHeader/>
          <w:jc w:val="center"/>
        </w:trPr>
        <w:tc>
          <w:tcPr>
            <w:tcW w:w="1909" w:type="dxa"/>
            <w:tcBorders>
              <w:top w:val="single" w:color="auto" w:sz="8" w:space="0"/>
              <w:left w:val="single" w:color="auto" w:sz="8" w:space="0"/>
              <w:bottom w:val="single" w:color="auto" w:sz="8" w:space="0"/>
              <w:right w:val="single" w:color="auto" w:sz="8" w:space="0"/>
            </w:tcBorders>
            <w:shd w:val="clear" w:color="000000" w:fill="DDEBF7"/>
            <w:noWrap/>
            <w:vAlign w:val="center"/>
          </w:tcPr>
          <w:p w14:paraId="2E8CCF82">
            <w:pPr>
              <w:widowControl/>
              <w:jc w:val="center"/>
              <w:rPr>
                <w:rFonts w:hint="eastAsia" w:ascii="黑体" w:hAnsi="黑体" w:eastAsia="黑体" w:cs="宋体"/>
                <w:b/>
                <w:bCs/>
                <w:kern w:val="0"/>
                <w:sz w:val="24"/>
                <w:szCs w:val="24"/>
              </w:rPr>
            </w:pPr>
            <w:r>
              <w:rPr>
                <w:rFonts w:hint="eastAsia" w:ascii="黑体" w:hAnsi="黑体" w:eastAsia="黑体" w:cs="宋体"/>
                <w:b/>
                <w:bCs/>
                <w:kern w:val="0"/>
                <w:sz w:val="24"/>
                <w:szCs w:val="24"/>
              </w:rPr>
              <w:t>赛道</w:t>
            </w:r>
          </w:p>
        </w:tc>
        <w:tc>
          <w:tcPr>
            <w:tcW w:w="737" w:type="dxa"/>
            <w:tcBorders>
              <w:top w:val="single" w:color="auto" w:sz="8" w:space="0"/>
              <w:left w:val="nil"/>
              <w:bottom w:val="single" w:color="auto" w:sz="8" w:space="0"/>
              <w:right w:val="single" w:color="auto" w:sz="4" w:space="0"/>
            </w:tcBorders>
            <w:shd w:val="clear" w:color="000000" w:fill="DDEBF7"/>
            <w:noWrap/>
            <w:vAlign w:val="center"/>
          </w:tcPr>
          <w:p w14:paraId="6B017CAD">
            <w:pPr>
              <w:widowControl/>
              <w:jc w:val="center"/>
              <w:rPr>
                <w:rFonts w:hint="eastAsia" w:ascii="黑体" w:hAnsi="黑体" w:eastAsia="黑体" w:cs="宋体"/>
                <w:b/>
                <w:bCs/>
                <w:kern w:val="0"/>
                <w:sz w:val="24"/>
                <w:szCs w:val="24"/>
              </w:rPr>
            </w:pPr>
            <w:r>
              <w:rPr>
                <w:rFonts w:hint="eastAsia" w:ascii="黑体" w:hAnsi="黑体" w:eastAsia="黑体" w:cs="宋体"/>
                <w:b/>
                <w:bCs/>
                <w:kern w:val="0"/>
                <w:sz w:val="24"/>
                <w:szCs w:val="24"/>
              </w:rPr>
              <w:t>序号</w:t>
            </w:r>
          </w:p>
        </w:tc>
        <w:tc>
          <w:tcPr>
            <w:tcW w:w="0" w:type="auto"/>
            <w:tcBorders>
              <w:top w:val="single" w:color="auto" w:sz="8" w:space="0"/>
              <w:left w:val="nil"/>
              <w:bottom w:val="single" w:color="auto" w:sz="8" w:space="0"/>
              <w:right w:val="single" w:color="auto" w:sz="8" w:space="0"/>
            </w:tcBorders>
            <w:shd w:val="clear" w:color="000000" w:fill="DDEBF7"/>
            <w:noWrap/>
            <w:vAlign w:val="center"/>
          </w:tcPr>
          <w:p w14:paraId="3318D982">
            <w:pPr>
              <w:widowControl/>
              <w:jc w:val="center"/>
              <w:rPr>
                <w:rFonts w:hint="eastAsia" w:ascii="黑体" w:hAnsi="黑体" w:eastAsia="黑体" w:cs="宋体"/>
                <w:b/>
                <w:bCs/>
                <w:kern w:val="0"/>
                <w:sz w:val="24"/>
                <w:szCs w:val="24"/>
              </w:rPr>
            </w:pPr>
            <w:r>
              <w:rPr>
                <w:rFonts w:hint="eastAsia" w:ascii="黑体" w:hAnsi="黑体" w:eastAsia="黑体" w:cs="宋体"/>
                <w:b/>
                <w:bCs/>
                <w:kern w:val="0"/>
                <w:sz w:val="24"/>
                <w:szCs w:val="24"/>
              </w:rPr>
              <w:t>主题</w:t>
            </w:r>
          </w:p>
        </w:tc>
      </w:tr>
      <w:tr w14:paraId="134BB92B">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7E1B1B3A">
            <w:pPr>
              <w:widowControl/>
              <w:jc w:val="center"/>
              <w:rPr>
                <w:rFonts w:hint="eastAsia" w:ascii="仿宋" w:hAnsi="仿宋" w:eastAsia="仿宋" w:cs="Times New Roman"/>
                <w:b/>
                <w:bCs/>
                <w:kern w:val="0"/>
                <w:sz w:val="22"/>
              </w:rPr>
            </w:pPr>
            <w:r>
              <w:rPr>
                <w:rFonts w:hint="eastAsia" w:ascii="仿宋" w:hAnsi="仿宋" w:eastAsia="仿宋" w:cs="Times New Roman"/>
                <w:b/>
                <w:bCs/>
                <w:kern w:val="0"/>
                <w:sz w:val="22"/>
              </w:rPr>
              <w:t>赛道一：</w:t>
            </w:r>
          </w:p>
          <w:p w14:paraId="1C3B4CDB">
            <w:pPr>
              <w:widowControl/>
              <w:jc w:val="center"/>
              <w:rPr>
                <w:rFonts w:ascii="Times New Roman" w:hAnsi="Times New Roman" w:eastAsia="等线" w:cs="Times New Roman"/>
                <w:b/>
                <w:bCs/>
                <w:kern w:val="0"/>
                <w:sz w:val="22"/>
              </w:rPr>
            </w:pPr>
            <w:r>
              <w:rPr>
                <w:rFonts w:hint="eastAsia" w:ascii="仿宋" w:hAnsi="仿宋" w:eastAsia="仿宋" w:cs="Times New Roman"/>
                <w:b/>
                <w:bCs/>
                <w:kern w:val="0"/>
                <w:sz w:val="22"/>
              </w:rPr>
              <w:t>双碳+环境与绿色科技</w:t>
            </w:r>
          </w:p>
        </w:tc>
        <w:tc>
          <w:tcPr>
            <w:tcW w:w="737" w:type="dxa"/>
            <w:tcBorders>
              <w:top w:val="nil"/>
              <w:left w:val="nil"/>
              <w:bottom w:val="single" w:color="auto" w:sz="4" w:space="0"/>
              <w:right w:val="single" w:color="auto" w:sz="4" w:space="0"/>
            </w:tcBorders>
            <w:shd w:val="clear" w:color="auto" w:fill="auto"/>
            <w:noWrap/>
            <w:vAlign w:val="bottom"/>
          </w:tcPr>
          <w:p w14:paraId="2A002F46">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w:t>
            </w:r>
          </w:p>
        </w:tc>
        <w:tc>
          <w:tcPr>
            <w:tcW w:w="0" w:type="auto"/>
            <w:tcBorders>
              <w:top w:val="nil"/>
              <w:left w:val="nil"/>
              <w:bottom w:val="single" w:color="auto" w:sz="4" w:space="0"/>
              <w:right w:val="single" w:color="auto" w:sz="8" w:space="0"/>
            </w:tcBorders>
            <w:shd w:val="clear" w:color="auto" w:fill="auto"/>
            <w:noWrap/>
            <w:vAlign w:val="center"/>
          </w:tcPr>
          <w:p w14:paraId="64224F5E">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水处理工艺的碳减排及能量回收技术</w:t>
            </w:r>
          </w:p>
        </w:tc>
      </w:tr>
      <w:tr w14:paraId="0FC12F79">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vAlign w:val="center"/>
          </w:tcPr>
          <w:p w14:paraId="5B0B6F4D">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60B9BE27">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w:t>
            </w:r>
          </w:p>
        </w:tc>
        <w:tc>
          <w:tcPr>
            <w:tcW w:w="0" w:type="auto"/>
            <w:tcBorders>
              <w:top w:val="nil"/>
              <w:left w:val="nil"/>
              <w:bottom w:val="single" w:color="auto" w:sz="4" w:space="0"/>
              <w:right w:val="single" w:color="auto" w:sz="8" w:space="0"/>
            </w:tcBorders>
            <w:shd w:val="clear" w:color="auto" w:fill="auto"/>
            <w:noWrap/>
            <w:vAlign w:val="center"/>
          </w:tcPr>
          <w:p w14:paraId="50C0CE8F">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土壤固碳增汇与农田减污降碳协同增效绿色治理技术</w:t>
            </w:r>
          </w:p>
        </w:tc>
      </w:tr>
      <w:tr w14:paraId="5A807D32">
        <w:tblPrEx>
          <w:tblCellMar>
            <w:top w:w="0" w:type="dxa"/>
            <w:left w:w="108" w:type="dxa"/>
            <w:bottom w:w="0" w:type="dxa"/>
            <w:right w:w="108" w:type="dxa"/>
          </w:tblCellMar>
        </w:tblPrEx>
        <w:trPr>
          <w:trHeight w:val="293" w:hRule="atLeast"/>
          <w:jc w:val="center"/>
        </w:trPr>
        <w:tc>
          <w:tcPr>
            <w:tcW w:w="1909" w:type="dxa"/>
            <w:vMerge w:val="continue"/>
            <w:tcBorders>
              <w:top w:val="nil"/>
              <w:left w:val="single" w:color="auto" w:sz="8" w:space="0"/>
              <w:bottom w:val="single" w:color="000000" w:sz="8" w:space="0"/>
              <w:right w:val="single" w:color="auto" w:sz="8" w:space="0"/>
            </w:tcBorders>
            <w:vAlign w:val="center"/>
          </w:tcPr>
          <w:p w14:paraId="0147018A">
            <w:pPr>
              <w:widowControl/>
              <w:jc w:val="center"/>
              <w:rPr>
                <w:rFonts w:ascii="Times New Roman" w:hAnsi="Times New Roman" w:eastAsia="等线" w:cs="Times New Roman"/>
                <w:b/>
                <w:bCs/>
                <w:kern w:val="0"/>
                <w:sz w:val="22"/>
              </w:rPr>
            </w:pPr>
          </w:p>
        </w:tc>
        <w:tc>
          <w:tcPr>
            <w:tcW w:w="737" w:type="dxa"/>
            <w:tcBorders>
              <w:top w:val="nil"/>
              <w:left w:val="nil"/>
              <w:bottom w:val="nil"/>
              <w:right w:val="single" w:color="auto" w:sz="4" w:space="0"/>
            </w:tcBorders>
            <w:shd w:val="clear" w:color="auto" w:fill="auto"/>
            <w:noWrap/>
            <w:vAlign w:val="bottom"/>
          </w:tcPr>
          <w:p w14:paraId="1C12B0AD">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w:t>
            </w:r>
          </w:p>
        </w:tc>
        <w:tc>
          <w:tcPr>
            <w:tcW w:w="0" w:type="auto"/>
            <w:tcBorders>
              <w:top w:val="nil"/>
              <w:left w:val="nil"/>
              <w:bottom w:val="nil"/>
              <w:right w:val="single" w:color="auto" w:sz="8" w:space="0"/>
            </w:tcBorders>
            <w:shd w:val="clear" w:color="auto" w:fill="auto"/>
            <w:noWrap/>
            <w:vAlign w:val="center"/>
          </w:tcPr>
          <w:p w14:paraId="14109067">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工业领域减污降碳协同增效</w:t>
            </w:r>
          </w:p>
        </w:tc>
      </w:tr>
      <w:tr w14:paraId="50CCB6F2">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571F3C09">
            <w:pPr>
              <w:widowControl/>
              <w:jc w:val="center"/>
              <w:rPr>
                <w:rFonts w:hint="eastAsia" w:ascii="仿宋" w:hAnsi="仿宋" w:eastAsia="仿宋" w:cs="Times New Roman"/>
                <w:b/>
                <w:bCs/>
                <w:kern w:val="0"/>
                <w:sz w:val="22"/>
              </w:rPr>
            </w:pPr>
            <w:r>
              <w:rPr>
                <w:rFonts w:hint="eastAsia" w:ascii="仿宋" w:hAnsi="仿宋" w:eastAsia="仿宋" w:cs="Times New Roman"/>
                <w:b/>
                <w:bCs/>
                <w:kern w:val="0"/>
                <w:sz w:val="22"/>
              </w:rPr>
              <w:t>赛道二：</w:t>
            </w:r>
          </w:p>
          <w:p w14:paraId="0E4FCB16">
            <w:pPr>
              <w:widowControl/>
              <w:jc w:val="center"/>
              <w:rPr>
                <w:rFonts w:ascii="Times New Roman" w:hAnsi="Times New Roman" w:eastAsia="等线" w:cs="Times New Roman"/>
                <w:b/>
                <w:bCs/>
                <w:kern w:val="0"/>
                <w:sz w:val="22"/>
              </w:rPr>
            </w:pPr>
            <w:r>
              <w:rPr>
                <w:rFonts w:hint="eastAsia" w:ascii="仿宋" w:hAnsi="仿宋" w:eastAsia="仿宋" w:cs="Times New Roman"/>
                <w:b/>
                <w:bCs/>
                <w:kern w:val="0"/>
                <w:sz w:val="22"/>
              </w:rPr>
              <w:t>双碳+新材料与新能源</w:t>
            </w:r>
          </w:p>
        </w:tc>
        <w:tc>
          <w:tcPr>
            <w:tcW w:w="737" w:type="dxa"/>
            <w:tcBorders>
              <w:top w:val="single" w:color="auto" w:sz="8" w:space="0"/>
              <w:left w:val="nil"/>
              <w:bottom w:val="single" w:color="auto" w:sz="4" w:space="0"/>
              <w:right w:val="single" w:color="auto" w:sz="4" w:space="0"/>
            </w:tcBorders>
            <w:shd w:val="clear" w:color="auto" w:fill="auto"/>
            <w:noWrap/>
            <w:vAlign w:val="bottom"/>
          </w:tcPr>
          <w:p w14:paraId="262EB39B">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4</w:t>
            </w:r>
          </w:p>
        </w:tc>
        <w:tc>
          <w:tcPr>
            <w:tcW w:w="0" w:type="auto"/>
            <w:tcBorders>
              <w:top w:val="single" w:color="auto" w:sz="8" w:space="0"/>
              <w:left w:val="nil"/>
              <w:bottom w:val="single" w:color="auto" w:sz="4" w:space="0"/>
              <w:right w:val="single" w:color="auto" w:sz="8" w:space="0"/>
            </w:tcBorders>
            <w:shd w:val="clear" w:color="auto" w:fill="auto"/>
            <w:noWrap/>
            <w:vAlign w:val="center"/>
          </w:tcPr>
          <w:p w14:paraId="68AD0604">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金属资源的回收及循环利用</w:t>
            </w:r>
          </w:p>
        </w:tc>
      </w:tr>
      <w:tr w14:paraId="3EBC4B92">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5893468B">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25061A2A">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5</w:t>
            </w:r>
          </w:p>
        </w:tc>
        <w:tc>
          <w:tcPr>
            <w:tcW w:w="0" w:type="auto"/>
            <w:tcBorders>
              <w:top w:val="nil"/>
              <w:left w:val="nil"/>
              <w:bottom w:val="single" w:color="auto" w:sz="4" w:space="0"/>
              <w:right w:val="single" w:color="auto" w:sz="8" w:space="0"/>
            </w:tcBorders>
            <w:shd w:val="clear" w:color="auto" w:fill="auto"/>
            <w:noWrap/>
            <w:vAlign w:val="center"/>
          </w:tcPr>
          <w:p w14:paraId="762684A9">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油气资源开发耦合碳捕集封存创新技术</w:t>
            </w:r>
          </w:p>
        </w:tc>
      </w:tr>
      <w:tr w14:paraId="0FC5E82B">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58ABE366">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553FA535">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6</w:t>
            </w:r>
          </w:p>
        </w:tc>
        <w:tc>
          <w:tcPr>
            <w:tcW w:w="0" w:type="auto"/>
            <w:tcBorders>
              <w:top w:val="nil"/>
              <w:left w:val="nil"/>
              <w:bottom w:val="single" w:color="auto" w:sz="4" w:space="0"/>
              <w:right w:val="single" w:color="auto" w:sz="8" w:space="0"/>
            </w:tcBorders>
            <w:shd w:val="clear" w:color="auto" w:fill="auto"/>
            <w:noWrap/>
            <w:vAlign w:val="center"/>
          </w:tcPr>
          <w:p w14:paraId="05B1C457">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绿色氢能的高效低成本获取与利用技术</w:t>
            </w:r>
          </w:p>
        </w:tc>
      </w:tr>
      <w:tr w14:paraId="354976EF">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366873B1">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602B1E5F">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7</w:t>
            </w:r>
          </w:p>
        </w:tc>
        <w:tc>
          <w:tcPr>
            <w:tcW w:w="0" w:type="auto"/>
            <w:tcBorders>
              <w:top w:val="nil"/>
              <w:left w:val="nil"/>
              <w:bottom w:val="single" w:color="auto" w:sz="4" w:space="0"/>
              <w:right w:val="single" w:color="auto" w:sz="8" w:space="0"/>
            </w:tcBorders>
            <w:shd w:val="clear" w:color="auto" w:fill="auto"/>
            <w:noWrap/>
            <w:vAlign w:val="center"/>
          </w:tcPr>
          <w:p w14:paraId="713910E1">
            <w:pPr>
              <w:widowControl/>
              <w:jc w:val="center"/>
              <w:rPr>
                <w:rFonts w:ascii="Times New Roman" w:hAnsi="Times New Roman" w:eastAsia="等线" w:cs="Times New Roman"/>
                <w:kern w:val="0"/>
                <w:sz w:val="22"/>
              </w:rPr>
            </w:pPr>
            <w:r>
              <w:rPr>
                <w:rFonts w:ascii="Times New Roman" w:hAnsi="Times New Roman" w:eastAsia="等线" w:cs="Times New Roman"/>
                <w:kern w:val="0"/>
                <w:sz w:val="22"/>
              </w:rPr>
              <w:t>CO</w:t>
            </w:r>
            <w:r>
              <w:rPr>
                <w:rFonts w:ascii="Times New Roman" w:hAnsi="Times New Roman" w:eastAsia="等线" w:cs="Times New Roman"/>
                <w:kern w:val="0"/>
                <w:sz w:val="22"/>
                <w:vertAlign w:val="subscript"/>
              </w:rPr>
              <w:t>2</w:t>
            </w:r>
            <w:r>
              <w:rPr>
                <w:rFonts w:hint="eastAsia" w:ascii="仿宋" w:hAnsi="仿宋" w:eastAsia="仿宋" w:cs="Times New Roman"/>
                <w:kern w:val="0"/>
                <w:sz w:val="22"/>
              </w:rPr>
              <w:t>价值循环利用之催化转化技术</w:t>
            </w:r>
          </w:p>
        </w:tc>
      </w:tr>
      <w:tr w14:paraId="650F48B0">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5E647794">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4F4C50EA">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8</w:t>
            </w:r>
          </w:p>
        </w:tc>
        <w:tc>
          <w:tcPr>
            <w:tcW w:w="0" w:type="auto"/>
            <w:tcBorders>
              <w:top w:val="nil"/>
              <w:left w:val="nil"/>
              <w:bottom w:val="single" w:color="auto" w:sz="4" w:space="0"/>
              <w:right w:val="single" w:color="auto" w:sz="8" w:space="0"/>
            </w:tcBorders>
            <w:shd w:val="clear" w:color="auto" w:fill="auto"/>
            <w:noWrap/>
            <w:vAlign w:val="center"/>
          </w:tcPr>
          <w:p w14:paraId="3DC90D48">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基于减碳节能的光充储集成式电池设计</w:t>
            </w:r>
          </w:p>
        </w:tc>
      </w:tr>
      <w:tr w14:paraId="5365D6E2">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1664775C">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2743BBB9">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9</w:t>
            </w:r>
          </w:p>
        </w:tc>
        <w:tc>
          <w:tcPr>
            <w:tcW w:w="0" w:type="auto"/>
            <w:tcBorders>
              <w:top w:val="nil"/>
              <w:left w:val="nil"/>
              <w:bottom w:val="single" w:color="auto" w:sz="4" w:space="0"/>
              <w:right w:val="single" w:color="auto" w:sz="8" w:space="0"/>
            </w:tcBorders>
            <w:shd w:val="clear" w:color="auto" w:fill="auto"/>
            <w:noWrap/>
            <w:vAlign w:val="center"/>
          </w:tcPr>
          <w:p w14:paraId="6C855DA1">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火力发电碳捕集能耗分析与碳泄露检测</w:t>
            </w:r>
          </w:p>
        </w:tc>
      </w:tr>
      <w:tr w14:paraId="5E7B2595">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04F17D70">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3F65E34A">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10</w:t>
            </w:r>
          </w:p>
        </w:tc>
        <w:tc>
          <w:tcPr>
            <w:tcW w:w="0" w:type="auto"/>
            <w:tcBorders>
              <w:top w:val="nil"/>
              <w:left w:val="nil"/>
              <w:bottom w:val="single" w:color="auto" w:sz="4" w:space="0"/>
              <w:right w:val="single" w:color="auto" w:sz="8" w:space="0"/>
            </w:tcBorders>
            <w:shd w:val="clear" w:color="auto" w:fill="auto"/>
            <w:noWrap/>
            <w:vAlign w:val="center"/>
          </w:tcPr>
          <w:p w14:paraId="42CD712A">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激光约束核聚变固体激光增益介质制备技术</w:t>
            </w:r>
          </w:p>
        </w:tc>
      </w:tr>
      <w:tr w14:paraId="28C3C57D">
        <w:tblPrEx>
          <w:tblCellMar>
            <w:top w:w="0" w:type="dxa"/>
            <w:left w:w="108" w:type="dxa"/>
            <w:bottom w:w="0" w:type="dxa"/>
            <w:right w:w="108" w:type="dxa"/>
          </w:tblCellMar>
        </w:tblPrEx>
        <w:trPr>
          <w:trHeight w:val="293"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355DB05A">
            <w:pPr>
              <w:widowControl/>
              <w:jc w:val="center"/>
              <w:rPr>
                <w:rFonts w:ascii="Times New Roman" w:hAnsi="Times New Roman" w:eastAsia="等线" w:cs="Times New Roman"/>
                <w:b/>
                <w:bCs/>
                <w:kern w:val="0"/>
                <w:sz w:val="22"/>
              </w:rPr>
            </w:pPr>
          </w:p>
        </w:tc>
        <w:tc>
          <w:tcPr>
            <w:tcW w:w="737" w:type="dxa"/>
            <w:tcBorders>
              <w:top w:val="nil"/>
              <w:left w:val="nil"/>
              <w:bottom w:val="nil"/>
              <w:right w:val="single" w:color="auto" w:sz="4" w:space="0"/>
            </w:tcBorders>
            <w:shd w:val="clear" w:color="auto" w:fill="auto"/>
            <w:noWrap/>
            <w:vAlign w:val="bottom"/>
          </w:tcPr>
          <w:p w14:paraId="664343C3">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11</w:t>
            </w:r>
          </w:p>
        </w:tc>
        <w:tc>
          <w:tcPr>
            <w:tcW w:w="0" w:type="auto"/>
            <w:tcBorders>
              <w:top w:val="nil"/>
              <w:left w:val="nil"/>
              <w:bottom w:val="nil"/>
              <w:right w:val="single" w:color="auto" w:sz="8" w:space="0"/>
            </w:tcBorders>
            <w:shd w:val="clear" w:color="auto" w:fill="auto"/>
            <w:noWrap/>
            <w:vAlign w:val="center"/>
          </w:tcPr>
          <w:p w14:paraId="3D8B6C3A">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直接空气二氧化碳捕集与一体化转化利用</w:t>
            </w:r>
          </w:p>
        </w:tc>
      </w:tr>
      <w:tr w14:paraId="58E735A6">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473014BD">
            <w:pPr>
              <w:widowControl/>
              <w:jc w:val="center"/>
              <w:rPr>
                <w:rFonts w:hint="eastAsia" w:ascii="仿宋" w:hAnsi="仿宋" w:eastAsia="仿宋" w:cs="宋体"/>
                <w:b/>
                <w:bCs/>
                <w:kern w:val="0"/>
                <w:sz w:val="22"/>
              </w:rPr>
            </w:pPr>
            <w:r>
              <w:rPr>
                <w:rFonts w:hint="eastAsia" w:ascii="仿宋" w:hAnsi="仿宋" w:eastAsia="仿宋" w:cs="宋体"/>
                <w:b/>
                <w:bCs/>
                <w:kern w:val="0"/>
                <w:sz w:val="22"/>
              </w:rPr>
              <w:t>赛道三：</w:t>
            </w:r>
          </w:p>
          <w:p w14:paraId="797C0CC5">
            <w:pPr>
              <w:widowControl/>
              <w:jc w:val="center"/>
              <w:rPr>
                <w:rFonts w:hint="eastAsia" w:ascii="仿宋" w:hAnsi="仿宋" w:eastAsia="仿宋" w:cs="宋体"/>
                <w:b/>
                <w:bCs/>
                <w:kern w:val="0"/>
                <w:sz w:val="22"/>
              </w:rPr>
            </w:pPr>
            <w:r>
              <w:rPr>
                <w:rFonts w:hint="eastAsia" w:ascii="仿宋" w:hAnsi="仿宋" w:eastAsia="仿宋" w:cs="Times New Roman"/>
                <w:b/>
                <w:bCs/>
                <w:kern w:val="0"/>
                <w:sz w:val="22"/>
              </w:rPr>
              <w:t>双碳+</w:t>
            </w:r>
            <w:r>
              <w:rPr>
                <w:rFonts w:hint="eastAsia" w:ascii="仿宋" w:hAnsi="仿宋" w:eastAsia="仿宋" w:cs="宋体"/>
                <w:b/>
                <w:bCs/>
                <w:kern w:val="0"/>
                <w:sz w:val="22"/>
              </w:rPr>
              <w:t>电子、信息与大数据</w:t>
            </w:r>
          </w:p>
        </w:tc>
        <w:tc>
          <w:tcPr>
            <w:tcW w:w="737" w:type="dxa"/>
            <w:tcBorders>
              <w:top w:val="single" w:color="auto" w:sz="8" w:space="0"/>
              <w:left w:val="nil"/>
              <w:bottom w:val="single" w:color="auto" w:sz="4" w:space="0"/>
              <w:right w:val="single" w:color="auto" w:sz="4" w:space="0"/>
            </w:tcBorders>
            <w:shd w:val="clear" w:color="auto" w:fill="auto"/>
            <w:noWrap/>
            <w:vAlign w:val="bottom"/>
          </w:tcPr>
          <w:p w14:paraId="2702E2E5">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12</w:t>
            </w:r>
          </w:p>
        </w:tc>
        <w:tc>
          <w:tcPr>
            <w:tcW w:w="0" w:type="auto"/>
            <w:tcBorders>
              <w:top w:val="single" w:color="auto" w:sz="8" w:space="0"/>
              <w:left w:val="nil"/>
              <w:bottom w:val="single" w:color="auto" w:sz="4" w:space="0"/>
              <w:right w:val="single" w:color="auto" w:sz="8" w:space="0"/>
            </w:tcBorders>
            <w:shd w:val="clear" w:color="auto" w:fill="auto"/>
            <w:noWrap/>
            <w:vAlign w:val="center"/>
          </w:tcPr>
          <w:p w14:paraId="34C73273">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绿色低碳信息技术及其应用</w:t>
            </w:r>
          </w:p>
        </w:tc>
      </w:tr>
      <w:tr w14:paraId="60E7EC9D">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39021345">
            <w:pPr>
              <w:widowControl/>
              <w:jc w:val="center"/>
              <w:rPr>
                <w:rFonts w:hint="eastAsia" w:ascii="仿宋" w:hAnsi="仿宋" w:eastAsia="仿宋" w:cs="宋体"/>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1FAA2279">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13</w:t>
            </w:r>
          </w:p>
        </w:tc>
        <w:tc>
          <w:tcPr>
            <w:tcW w:w="0" w:type="auto"/>
            <w:tcBorders>
              <w:top w:val="nil"/>
              <w:left w:val="nil"/>
              <w:bottom w:val="single" w:color="auto" w:sz="4" w:space="0"/>
              <w:right w:val="single" w:color="auto" w:sz="8" w:space="0"/>
            </w:tcBorders>
            <w:shd w:val="clear" w:color="auto" w:fill="auto"/>
            <w:noWrap/>
            <w:vAlign w:val="center"/>
          </w:tcPr>
          <w:p w14:paraId="5CF93EB7">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绿色高效大规模预训练</w:t>
            </w:r>
            <w:r>
              <w:rPr>
                <w:rFonts w:ascii="Times New Roman" w:hAnsi="Times New Roman" w:eastAsia="等线" w:cs="Times New Roman"/>
                <w:kern w:val="0"/>
                <w:sz w:val="22"/>
              </w:rPr>
              <w:t>AI</w:t>
            </w:r>
            <w:r>
              <w:rPr>
                <w:rFonts w:hint="eastAsia" w:ascii="仿宋" w:hAnsi="仿宋" w:eastAsia="仿宋" w:cs="Times New Roman"/>
                <w:kern w:val="0"/>
                <w:sz w:val="22"/>
              </w:rPr>
              <w:t>技术</w:t>
            </w:r>
          </w:p>
        </w:tc>
      </w:tr>
      <w:tr w14:paraId="0CD1B3AF">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3C6D1FB9">
            <w:pPr>
              <w:widowControl/>
              <w:jc w:val="center"/>
              <w:rPr>
                <w:rFonts w:hint="eastAsia" w:ascii="仿宋" w:hAnsi="仿宋" w:eastAsia="仿宋" w:cs="宋体"/>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4166CA22">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14</w:t>
            </w:r>
          </w:p>
        </w:tc>
        <w:tc>
          <w:tcPr>
            <w:tcW w:w="0" w:type="auto"/>
            <w:tcBorders>
              <w:top w:val="nil"/>
              <w:left w:val="nil"/>
              <w:bottom w:val="single" w:color="auto" w:sz="4" w:space="0"/>
              <w:right w:val="single" w:color="auto" w:sz="8" w:space="0"/>
            </w:tcBorders>
            <w:shd w:val="clear" w:color="auto" w:fill="auto"/>
            <w:noWrap/>
            <w:vAlign w:val="center"/>
          </w:tcPr>
          <w:p w14:paraId="1F655099">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提升</w:t>
            </w:r>
            <w:r>
              <w:rPr>
                <w:rFonts w:ascii="Times New Roman" w:hAnsi="Times New Roman" w:eastAsia="等线" w:cs="Times New Roman"/>
                <w:kern w:val="0"/>
                <w:sz w:val="22"/>
              </w:rPr>
              <w:t>5G</w:t>
            </w:r>
            <w:r>
              <w:rPr>
                <w:rFonts w:hint="eastAsia" w:ascii="仿宋" w:hAnsi="仿宋" w:eastAsia="仿宋" w:cs="Times New Roman"/>
                <w:kern w:val="0"/>
                <w:sz w:val="22"/>
              </w:rPr>
              <w:t>基站功率放大器效率减少碳排放关键技术</w:t>
            </w:r>
          </w:p>
        </w:tc>
      </w:tr>
      <w:tr w14:paraId="6F2056DB">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63E6F998">
            <w:pPr>
              <w:widowControl/>
              <w:jc w:val="center"/>
              <w:rPr>
                <w:rFonts w:hint="eastAsia" w:ascii="仿宋" w:hAnsi="仿宋" w:eastAsia="仿宋" w:cs="宋体"/>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2F021ED3">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15</w:t>
            </w:r>
          </w:p>
        </w:tc>
        <w:tc>
          <w:tcPr>
            <w:tcW w:w="0" w:type="auto"/>
            <w:tcBorders>
              <w:top w:val="nil"/>
              <w:left w:val="nil"/>
              <w:bottom w:val="single" w:color="auto" w:sz="4" w:space="0"/>
              <w:right w:val="single" w:color="auto" w:sz="8" w:space="0"/>
            </w:tcBorders>
            <w:shd w:val="clear" w:color="auto" w:fill="auto"/>
            <w:noWrap/>
            <w:vAlign w:val="center"/>
          </w:tcPr>
          <w:p w14:paraId="7F655FFD">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多模式能量采集与管理技术</w:t>
            </w:r>
          </w:p>
        </w:tc>
      </w:tr>
      <w:tr w14:paraId="14193C15">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46B109C4">
            <w:pPr>
              <w:widowControl/>
              <w:jc w:val="center"/>
              <w:rPr>
                <w:rFonts w:hint="eastAsia" w:ascii="仿宋" w:hAnsi="仿宋" w:eastAsia="仿宋" w:cs="宋体"/>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10D087F0">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16</w:t>
            </w:r>
          </w:p>
        </w:tc>
        <w:tc>
          <w:tcPr>
            <w:tcW w:w="0" w:type="auto"/>
            <w:tcBorders>
              <w:top w:val="nil"/>
              <w:left w:val="nil"/>
              <w:bottom w:val="single" w:color="auto" w:sz="4" w:space="0"/>
              <w:right w:val="single" w:color="auto" w:sz="8" w:space="0"/>
            </w:tcBorders>
            <w:shd w:val="clear" w:color="auto" w:fill="auto"/>
            <w:noWrap/>
            <w:vAlign w:val="center"/>
          </w:tcPr>
          <w:p w14:paraId="2AFBAC99">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碳排放、碳汇的计量监测应用及解决方案</w:t>
            </w:r>
          </w:p>
        </w:tc>
      </w:tr>
      <w:tr w14:paraId="6D025BDB">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2722A495">
            <w:pPr>
              <w:widowControl/>
              <w:jc w:val="center"/>
              <w:rPr>
                <w:rFonts w:hint="eastAsia" w:ascii="仿宋" w:hAnsi="仿宋" w:eastAsia="仿宋" w:cs="宋体"/>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7710AF62">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17</w:t>
            </w:r>
          </w:p>
        </w:tc>
        <w:tc>
          <w:tcPr>
            <w:tcW w:w="0" w:type="auto"/>
            <w:tcBorders>
              <w:top w:val="nil"/>
              <w:left w:val="nil"/>
              <w:bottom w:val="single" w:color="auto" w:sz="4" w:space="0"/>
              <w:right w:val="single" w:color="auto" w:sz="8" w:space="0"/>
            </w:tcBorders>
            <w:shd w:val="clear" w:color="auto" w:fill="auto"/>
            <w:noWrap/>
            <w:vAlign w:val="center"/>
          </w:tcPr>
          <w:p w14:paraId="562538D6">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城镇低碳智慧供热（供冷）技术</w:t>
            </w:r>
          </w:p>
        </w:tc>
      </w:tr>
      <w:tr w14:paraId="7D9BD5D3">
        <w:tblPrEx>
          <w:tblCellMar>
            <w:top w:w="0" w:type="dxa"/>
            <w:left w:w="108" w:type="dxa"/>
            <w:bottom w:w="0" w:type="dxa"/>
            <w:right w:w="108" w:type="dxa"/>
          </w:tblCellMar>
        </w:tblPrEx>
        <w:trPr>
          <w:trHeight w:val="293"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0E8AD2E7">
            <w:pPr>
              <w:widowControl/>
              <w:jc w:val="center"/>
              <w:rPr>
                <w:rFonts w:hint="eastAsia" w:ascii="仿宋" w:hAnsi="仿宋" w:eastAsia="仿宋" w:cs="宋体"/>
                <w:b/>
                <w:bCs/>
                <w:kern w:val="0"/>
                <w:sz w:val="22"/>
              </w:rPr>
            </w:pPr>
          </w:p>
        </w:tc>
        <w:tc>
          <w:tcPr>
            <w:tcW w:w="737" w:type="dxa"/>
            <w:tcBorders>
              <w:top w:val="nil"/>
              <w:left w:val="nil"/>
              <w:bottom w:val="nil"/>
              <w:right w:val="single" w:color="auto" w:sz="4" w:space="0"/>
            </w:tcBorders>
            <w:shd w:val="clear" w:color="auto" w:fill="auto"/>
            <w:noWrap/>
            <w:vAlign w:val="bottom"/>
          </w:tcPr>
          <w:p w14:paraId="7EC9A295">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18</w:t>
            </w:r>
          </w:p>
        </w:tc>
        <w:tc>
          <w:tcPr>
            <w:tcW w:w="0" w:type="auto"/>
            <w:tcBorders>
              <w:top w:val="nil"/>
              <w:left w:val="nil"/>
              <w:bottom w:val="nil"/>
              <w:right w:val="single" w:color="auto" w:sz="8" w:space="0"/>
            </w:tcBorders>
            <w:shd w:val="clear" w:color="auto" w:fill="auto"/>
            <w:noWrap/>
            <w:vAlign w:val="center"/>
          </w:tcPr>
          <w:p w14:paraId="186F36F3">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新能源系统智慧运维</w:t>
            </w:r>
          </w:p>
        </w:tc>
      </w:tr>
      <w:tr w14:paraId="24D4D675">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64D5F388">
            <w:pPr>
              <w:widowControl/>
              <w:jc w:val="center"/>
              <w:rPr>
                <w:rFonts w:hint="eastAsia" w:ascii="仿宋" w:hAnsi="仿宋" w:eastAsia="仿宋" w:cs="Times New Roman"/>
                <w:b/>
                <w:bCs/>
                <w:kern w:val="0"/>
                <w:sz w:val="22"/>
              </w:rPr>
            </w:pPr>
            <w:r>
              <w:rPr>
                <w:rFonts w:hint="eastAsia" w:ascii="仿宋" w:hAnsi="仿宋" w:eastAsia="仿宋" w:cs="Times New Roman"/>
                <w:b/>
                <w:bCs/>
                <w:kern w:val="0"/>
                <w:sz w:val="22"/>
              </w:rPr>
              <w:t>赛道四：</w:t>
            </w:r>
          </w:p>
          <w:p w14:paraId="5E66FFC7">
            <w:pPr>
              <w:widowControl/>
              <w:jc w:val="center"/>
              <w:rPr>
                <w:rFonts w:ascii="Times New Roman" w:hAnsi="Times New Roman" w:eastAsia="等线" w:cs="Times New Roman"/>
                <w:b/>
                <w:bCs/>
                <w:kern w:val="0"/>
                <w:sz w:val="22"/>
              </w:rPr>
            </w:pPr>
            <w:r>
              <w:rPr>
                <w:rFonts w:hint="eastAsia" w:ascii="仿宋" w:hAnsi="仿宋" w:eastAsia="仿宋" w:cs="Times New Roman"/>
                <w:b/>
                <w:bCs/>
                <w:kern w:val="0"/>
                <w:sz w:val="22"/>
              </w:rPr>
              <w:t>双碳+设计与制造</w:t>
            </w:r>
          </w:p>
        </w:tc>
        <w:tc>
          <w:tcPr>
            <w:tcW w:w="737" w:type="dxa"/>
            <w:tcBorders>
              <w:top w:val="single" w:color="auto" w:sz="8" w:space="0"/>
              <w:left w:val="nil"/>
              <w:bottom w:val="single" w:color="auto" w:sz="4" w:space="0"/>
              <w:right w:val="single" w:color="auto" w:sz="4" w:space="0"/>
            </w:tcBorders>
            <w:shd w:val="clear" w:color="auto" w:fill="auto"/>
            <w:noWrap/>
            <w:vAlign w:val="bottom"/>
          </w:tcPr>
          <w:p w14:paraId="306F6683">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19</w:t>
            </w:r>
          </w:p>
        </w:tc>
        <w:tc>
          <w:tcPr>
            <w:tcW w:w="0" w:type="auto"/>
            <w:tcBorders>
              <w:top w:val="single" w:color="auto" w:sz="8" w:space="0"/>
              <w:left w:val="nil"/>
              <w:bottom w:val="single" w:color="auto" w:sz="4" w:space="0"/>
              <w:right w:val="single" w:color="auto" w:sz="8" w:space="0"/>
            </w:tcBorders>
            <w:shd w:val="clear" w:color="auto" w:fill="auto"/>
            <w:noWrap/>
            <w:vAlign w:val="center"/>
          </w:tcPr>
          <w:p w14:paraId="3CBC74AD">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绿色建筑（室内）与智慧科技</w:t>
            </w:r>
          </w:p>
        </w:tc>
      </w:tr>
      <w:tr w14:paraId="0CF192C3">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14341688">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2D511295">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20</w:t>
            </w:r>
          </w:p>
        </w:tc>
        <w:tc>
          <w:tcPr>
            <w:tcW w:w="0" w:type="auto"/>
            <w:tcBorders>
              <w:top w:val="nil"/>
              <w:left w:val="nil"/>
              <w:bottom w:val="single" w:color="auto" w:sz="4" w:space="0"/>
              <w:right w:val="single" w:color="auto" w:sz="8" w:space="0"/>
            </w:tcBorders>
            <w:shd w:val="clear" w:color="auto" w:fill="auto"/>
            <w:noWrap/>
            <w:vAlign w:val="center"/>
          </w:tcPr>
          <w:p w14:paraId="1A42BA4B">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低碳制造</w:t>
            </w:r>
          </w:p>
        </w:tc>
      </w:tr>
      <w:tr w14:paraId="732C7FB2">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2A97E934">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20DA49BB">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21</w:t>
            </w:r>
          </w:p>
        </w:tc>
        <w:tc>
          <w:tcPr>
            <w:tcW w:w="0" w:type="auto"/>
            <w:tcBorders>
              <w:top w:val="nil"/>
              <w:left w:val="nil"/>
              <w:bottom w:val="single" w:color="auto" w:sz="4" w:space="0"/>
              <w:right w:val="single" w:color="auto" w:sz="8" w:space="0"/>
            </w:tcBorders>
            <w:shd w:val="clear" w:color="auto" w:fill="auto"/>
            <w:noWrap/>
            <w:vAlign w:val="center"/>
          </w:tcPr>
          <w:p w14:paraId="714B5C9A">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构筑智能化产品设计制造生产线</w:t>
            </w:r>
          </w:p>
        </w:tc>
      </w:tr>
      <w:tr w14:paraId="00C5E59B">
        <w:tblPrEx>
          <w:tblCellMar>
            <w:top w:w="0" w:type="dxa"/>
            <w:left w:w="108" w:type="dxa"/>
            <w:bottom w:w="0" w:type="dxa"/>
            <w:right w:w="108" w:type="dxa"/>
          </w:tblCellMar>
        </w:tblPrEx>
        <w:trPr>
          <w:trHeight w:val="293"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0D2BC455">
            <w:pPr>
              <w:widowControl/>
              <w:jc w:val="center"/>
              <w:rPr>
                <w:rFonts w:ascii="Times New Roman" w:hAnsi="Times New Roman" w:eastAsia="等线" w:cs="Times New Roman"/>
                <w:b/>
                <w:bCs/>
                <w:kern w:val="0"/>
                <w:sz w:val="22"/>
              </w:rPr>
            </w:pPr>
          </w:p>
        </w:tc>
        <w:tc>
          <w:tcPr>
            <w:tcW w:w="737" w:type="dxa"/>
            <w:tcBorders>
              <w:top w:val="nil"/>
              <w:left w:val="nil"/>
              <w:bottom w:val="nil"/>
              <w:right w:val="single" w:color="auto" w:sz="4" w:space="0"/>
            </w:tcBorders>
            <w:shd w:val="clear" w:color="auto" w:fill="auto"/>
            <w:noWrap/>
            <w:vAlign w:val="bottom"/>
          </w:tcPr>
          <w:p w14:paraId="63179D4F">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22</w:t>
            </w:r>
          </w:p>
        </w:tc>
        <w:tc>
          <w:tcPr>
            <w:tcW w:w="0" w:type="auto"/>
            <w:tcBorders>
              <w:top w:val="nil"/>
              <w:left w:val="nil"/>
              <w:bottom w:val="nil"/>
              <w:right w:val="single" w:color="auto" w:sz="8" w:space="0"/>
            </w:tcBorders>
            <w:shd w:val="clear" w:color="auto" w:fill="auto"/>
            <w:noWrap/>
            <w:vAlign w:val="center"/>
          </w:tcPr>
          <w:p w14:paraId="1BFAD4E4">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面向制冷系统节能低碳的新型装备设计与开发</w:t>
            </w:r>
          </w:p>
        </w:tc>
      </w:tr>
      <w:tr w14:paraId="460C42D4">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56CB48D4">
            <w:pPr>
              <w:widowControl/>
              <w:jc w:val="center"/>
              <w:rPr>
                <w:rFonts w:hint="eastAsia" w:ascii="仿宋" w:hAnsi="仿宋" w:eastAsia="仿宋" w:cs="Times New Roman"/>
                <w:b/>
                <w:bCs/>
                <w:kern w:val="0"/>
                <w:sz w:val="22"/>
              </w:rPr>
            </w:pPr>
            <w:r>
              <w:rPr>
                <w:rFonts w:hint="eastAsia" w:ascii="仿宋" w:hAnsi="仿宋" w:eastAsia="仿宋" w:cs="Times New Roman"/>
                <w:b/>
                <w:bCs/>
                <w:kern w:val="0"/>
                <w:sz w:val="22"/>
              </w:rPr>
              <w:t>赛道五：</w:t>
            </w:r>
          </w:p>
          <w:p w14:paraId="43061651">
            <w:pPr>
              <w:widowControl/>
              <w:jc w:val="center"/>
              <w:rPr>
                <w:rFonts w:ascii="Times New Roman" w:hAnsi="Times New Roman" w:eastAsia="等线" w:cs="Times New Roman"/>
                <w:b/>
                <w:bCs/>
                <w:kern w:val="0"/>
                <w:sz w:val="22"/>
              </w:rPr>
            </w:pPr>
            <w:r>
              <w:rPr>
                <w:rFonts w:hint="eastAsia" w:ascii="仿宋" w:hAnsi="仿宋" w:eastAsia="仿宋" w:cs="Times New Roman"/>
                <w:b/>
                <w:bCs/>
                <w:kern w:val="0"/>
                <w:sz w:val="22"/>
              </w:rPr>
              <w:t>双碳+低碳生活与生命健康</w:t>
            </w:r>
          </w:p>
        </w:tc>
        <w:tc>
          <w:tcPr>
            <w:tcW w:w="737" w:type="dxa"/>
            <w:tcBorders>
              <w:top w:val="single" w:color="auto" w:sz="8" w:space="0"/>
              <w:left w:val="nil"/>
              <w:bottom w:val="single" w:color="auto" w:sz="4" w:space="0"/>
              <w:right w:val="single" w:color="auto" w:sz="4" w:space="0"/>
            </w:tcBorders>
            <w:shd w:val="clear" w:color="auto" w:fill="auto"/>
            <w:noWrap/>
            <w:vAlign w:val="bottom"/>
          </w:tcPr>
          <w:p w14:paraId="5B93054E">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23</w:t>
            </w:r>
          </w:p>
        </w:tc>
        <w:tc>
          <w:tcPr>
            <w:tcW w:w="0" w:type="auto"/>
            <w:tcBorders>
              <w:top w:val="single" w:color="auto" w:sz="8" w:space="0"/>
              <w:left w:val="nil"/>
              <w:bottom w:val="single" w:color="auto" w:sz="4" w:space="0"/>
              <w:right w:val="single" w:color="auto" w:sz="8" w:space="0"/>
            </w:tcBorders>
            <w:shd w:val="clear" w:color="auto" w:fill="auto"/>
            <w:noWrap/>
            <w:vAlign w:val="center"/>
          </w:tcPr>
          <w:p w14:paraId="323F6B83">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超特大城市脱碳技术与路径选择</w:t>
            </w:r>
          </w:p>
        </w:tc>
      </w:tr>
      <w:tr w14:paraId="75A36344">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5F6C885E">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61B877AE">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24</w:t>
            </w:r>
          </w:p>
        </w:tc>
        <w:tc>
          <w:tcPr>
            <w:tcW w:w="0" w:type="auto"/>
            <w:tcBorders>
              <w:top w:val="nil"/>
              <w:left w:val="nil"/>
              <w:bottom w:val="single" w:color="auto" w:sz="4" w:space="0"/>
              <w:right w:val="single" w:color="auto" w:sz="8" w:space="0"/>
            </w:tcBorders>
            <w:shd w:val="clear" w:color="auto" w:fill="auto"/>
            <w:noWrap/>
            <w:vAlign w:val="center"/>
          </w:tcPr>
          <w:p w14:paraId="7CD43FE0">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城市低碳建筑能源数字化转型技术</w:t>
            </w:r>
          </w:p>
        </w:tc>
      </w:tr>
      <w:tr w14:paraId="1E521B2E">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18242151">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3D1ECC69">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25</w:t>
            </w:r>
          </w:p>
        </w:tc>
        <w:tc>
          <w:tcPr>
            <w:tcW w:w="0" w:type="auto"/>
            <w:tcBorders>
              <w:top w:val="nil"/>
              <w:left w:val="nil"/>
              <w:bottom w:val="single" w:color="auto" w:sz="4" w:space="0"/>
              <w:right w:val="single" w:color="auto" w:sz="8" w:space="0"/>
            </w:tcBorders>
            <w:shd w:val="clear" w:color="auto" w:fill="auto"/>
            <w:noWrap/>
            <w:vAlign w:val="center"/>
          </w:tcPr>
          <w:p w14:paraId="6194A385">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面向双碳目标的纺织服装企业技术、产业链联动及社会责任履行</w:t>
            </w:r>
          </w:p>
        </w:tc>
      </w:tr>
      <w:tr w14:paraId="46E95A82">
        <w:tblPrEx>
          <w:tblCellMar>
            <w:top w:w="0" w:type="dxa"/>
            <w:left w:w="108" w:type="dxa"/>
            <w:bottom w:w="0" w:type="dxa"/>
            <w:right w:w="108" w:type="dxa"/>
          </w:tblCellMar>
        </w:tblPrEx>
        <w:trPr>
          <w:trHeight w:val="293"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4EE982D6">
            <w:pPr>
              <w:widowControl/>
              <w:jc w:val="center"/>
              <w:rPr>
                <w:rFonts w:ascii="Times New Roman" w:hAnsi="Times New Roman" w:eastAsia="等线" w:cs="Times New Roman"/>
                <w:b/>
                <w:bCs/>
                <w:kern w:val="0"/>
                <w:sz w:val="22"/>
              </w:rPr>
            </w:pPr>
          </w:p>
        </w:tc>
        <w:tc>
          <w:tcPr>
            <w:tcW w:w="737" w:type="dxa"/>
            <w:tcBorders>
              <w:top w:val="single" w:color="auto" w:sz="4" w:space="0"/>
              <w:left w:val="nil"/>
              <w:bottom w:val="single" w:color="auto" w:sz="8" w:space="0"/>
              <w:right w:val="single" w:color="auto" w:sz="4" w:space="0"/>
            </w:tcBorders>
            <w:shd w:val="clear" w:color="auto" w:fill="auto"/>
            <w:noWrap/>
            <w:vAlign w:val="bottom"/>
          </w:tcPr>
          <w:p w14:paraId="6F4D1E63">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26</w:t>
            </w:r>
          </w:p>
        </w:tc>
        <w:tc>
          <w:tcPr>
            <w:tcW w:w="0" w:type="auto"/>
            <w:tcBorders>
              <w:top w:val="single" w:color="auto" w:sz="4" w:space="0"/>
              <w:left w:val="nil"/>
              <w:bottom w:val="single" w:color="auto" w:sz="8" w:space="0"/>
              <w:right w:val="single" w:color="auto" w:sz="8" w:space="0"/>
            </w:tcBorders>
            <w:shd w:val="clear" w:color="auto" w:fill="auto"/>
            <w:noWrap/>
            <w:vAlign w:val="center"/>
          </w:tcPr>
          <w:p w14:paraId="7C93A336">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双碳战略与智能交通</w:t>
            </w:r>
          </w:p>
        </w:tc>
      </w:tr>
      <w:tr w14:paraId="6413BF5F">
        <w:tblPrEx>
          <w:tblCellMar>
            <w:top w:w="0" w:type="dxa"/>
            <w:left w:w="108" w:type="dxa"/>
            <w:bottom w:w="0" w:type="dxa"/>
            <w:right w:w="108" w:type="dxa"/>
          </w:tblCellMar>
        </w:tblPrEx>
        <w:trPr>
          <w:trHeight w:val="288" w:hRule="atLeast"/>
          <w:jc w:val="center"/>
        </w:trPr>
        <w:tc>
          <w:tcPr>
            <w:tcW w:w="1909" w:type="dxa"/>
            <w:vMerge w:val="restart"/>
            <w:tcBorders>
              <w:top w:val="nil"/>
              <w:left w:val="single" w:color="auto" w:sz="8" w:space="0"/>
              <w:right w:val="single" w:color="auto" w:sz="8" w:space="0"/>
            </w:tcBorders>
            <w:shd w:val="clear" w:color="auto" w:fill="auto"/>
            <w:noWrap/>
            <w:vAlign w:val="center"/>
          </w:tcPr>
          <w:p w14:paraId="0BBD0FAF">
            <w:pPr>
              <w:widowControl/>
              <w:pBdr>
                <w:right w:val="single" w:color="auto" w:sz="8" w:space="4"/>
              </w:pBdr>
              <w:jc w:val="center"/>
              <w:rPr>
                <w:rFonts w:hint="eastAsia" w:ascii="仿宋" w:hAnsi="仿宋" w:eastAsia="仿宋" w:cs="Times New Roman"/>
                <w:b/>
                <w:bCs/>
                <w:kern w:val="0"/>
                <w:sz w:val="22"/>
              </w:rPr>
            </w:pPr>
            <w:r>
              <w:rPr>
                <w:rFonts w:hint="eastAsia" w:ascii="仿宋" w:hAnsi="仿宋" w:eastAsia="仿宋" w:cs="Times New Roman"/>
                <w:b/>
                <w:bCs/>
                <w:kern w:val="0"/>
                <w:sz w:val="22"/>
              </w:rPr>
              <w:t>赛道六：</w:t>
            </w:r>
          </w:p>
          <w:p w14:paraId="01420BDD">
            <w:pPr>
              <w:widowControl/>
              <w:pBdr>
                <w:right w:val="single" w:color="auto" w:sz="8" w:space="4"/>
              </w:pBdr>
              <w:jc w:val="center"/>
              <w:rPr>
                <w:rFonts w:ascii="Times New Roman" w:hAnsi="Times New Roman" w:eastAsia="等线" w:cs="Times New Roman"/>
                <w:b/>
                <w:bCs/>
                <w:kern w:val="0"/>
                <w:sz w:val="22"/>
              </w:rPr>
            </w:pPr>
            <w:r>
              <w:rPr>
                <w:rFonts w:hint="eastAsia" w:ascii="仿宋" w:hAnsi="仿宋" w:eastAsia="仿宋" w:cs="Times New Roman"/>
                <w:b/>
                <w:bCs/>
                <w:kern w:val="0"/>
                <w:sz w:val="22"/>
              </w:rPr>
              <w:t>双碳+政策、机制与体系创新</w:t>
            </w:r>
          </w:p>
        </w:tc>
        <w:tc>
          <w:tcPr>
            <w:tcW w:w="737" w:type="dxa"/>
            <w:tcBorders>
              <w:top w:val="single" w:color="auto" w:sz="8" w:space="0"/>
              <w:left w:val="single" w:color="auto" w:sz="8" w:space="0"/>
              <w:bottom w:val="single" w:color="auto" w:sz="4" w:space="0"/>
              <w:right w:val="single" w:color="auto" w:sz="4" w:space="0"/>
            </w:tcBorders>
            <w:shd w:val="clear" w:color="auto" w:fill="auto"/>
            <w:noWrap/>
            <w:vAlign w:val="bottom"/>
          </w:tcPr>
          <w:p w14:paraId="5DCDE092">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27</w:t>
            </w:r>
          </w:p>
        </w:tc>
        <w:tc>
          <w:tcPr>
            <w:tcW w:w="0" w:type="auto"/>
            <w:tcBorders>
              <w:top w:val="single" w:color="auto" w:sz="8" w:space="0"/>
              <w:left w:val="single" w:color="auto" w:sz="4" w:space="0"/>
              <w:bottom w:val="single" w:color="auto" w:sz="4" w:space="0"/>
              <w:right w:val="single" w:color="auto" w:sz="8" w:space="0"/>
            </w:tcBorders>
            <w:shd w:val="clear" w:color="auto" w:fill="auto"/>
            <w:noWrap/>
            <w:vAlign w:val="center"/>
          </w:tcPr>
          <w:p w14:paraId="3E2D1F3A">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生态产品价值实现</w:t>
            </w:r>
          </w:p>
        </w:tc>
      </w:tr>
      <w:tr w14:paraId="5014F356">
        <w:tblPrEx>
          <w:tblCellMar>
            <w:top w:w="0" w:type="dxa"/>
            <w:left w:w="108" w:type="dxa"/>
            <w:bottom w:w="0" w:type="dxa"/>
            <w:right w:w="108" w:type="dxa"/>
          </w:tblCellMar>
        </w:tblPrEx>
        <w:trPr>
          <w:trHeight w:val="288" w:hRule="atLeast"/>
          <w:jc w:val="center"/>
        </w:trPr>
        <w:tc>
          <w:tcPr>
            <w:tcW w:w="1909" w:type="dxa"/>
            <w:vMerge w:val="continue"/>
            <w:tcBorders>
              <w:left w:val="single" w:color="auto" w:sz="8" w:space="0"/>
              <w:right w:val="single" w:color="auto" w:sz="8" w:space="0"/>
            </w:tcBorders>
            <w:shd w:val="clear" w:color="auto" w:fill="auto"/>
            <w:vAlign w:val="center"/>
          </w:tcPr>
          <w:p w14:paraId="64A18E67">
            <w:pPr>
              <w:widowControl/>
              <w:jc w:val="center"/>
              <w:rPr>
                <w:rFonts w:ascii="Times New Roman" w:hAnsi="Times New Roman" w:eastAsia="等线" w:cs="Times New Roman"/>
                <w:b/>
                <w:bCs/>
                <w:kern w:val="0"/>
                <w:sz w:val="22"/>
              </w:rPr>
            </w:pPr>
          </w:p>
        </w:tc>
        <w:tc>
          <w:tcPr>
            <w:tcW w:w="737" w:type="dxa"/>
            <w:tcBorders>
              <w:top w:val="single" w:color="auto" w:sz="4" w:space="0"/>
              <w:left w:val="single" w:color="auto" w:sz="8" w:space="0"/>
              <w:bottom w:val="single" w:color="auto" w:sz="4" w:space="0"/>
              <w:right w:val="single" w:color="auto" w:sz="4" w:space="0"/>
            </w:tcBorders>
            <w:shd w:val="clear" w:color="auto" w:fill="auto"/>
            <w:noWrap/>
            <w:vAlign w:val="bottom"/>
          </w:tcPr>
          <w:p w14:paraId="24E0FF07">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28</w:t>
            </w:r>
          </w:p>
        </w:tc>
        <w:tc>
          <w:tcPr>
            <w:tcW w:w="0" w:type="auto"/>
            <w:tcBorders>
              <w:top w:val="single" w:color="auto" w:sz="4" w:space="0"/>
              <w:left w:val="single" w:color="auto" w:sz="4" w:space="0"/>
              <w:bottom w:val="single" w:color="auto" w:sz="4" w:space="0"/>
              <w:right w:val="single" w:color="auto" w:sz="8" w:space="0"/>
            </w:tcBorders>
            <w:shd w:val="clear" w:color="auto" w:fill="auto"/>
            <w:noWrap/>
            <w:vAlign w:val="center"/>
          </w:tcPr>
          <w:p w14:paraId="66A481D0">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碳金融驱动产业绿色转型升级</w:t>
            </w:r>
          </w:p>
        </w:tc>
      </w:tr>
      <w:tr w14:paraId="6AD6B72E">
        <w:tblPrEx>
          <w:tblCellMar>
            <w:top w:w="0" w:type="dxa"/>
            <w:left w:w="108" w:type="dxa"/>
            <w:bottom w:w="0" w:type="dxa"/>
            <w:right w:w="108" w:type="dxa"/>
          </w:tblCellMar>
        </w:tblPrEx>
        <w:trPr>
          <w:trHeight w:val="288" w:hRule="atLeast"/>
          <w:jc w:val="center"/>
        </w:trPr>
        <w:tc>
          <w:tcPr>
            <w:tcW w:w="1909" w:type="dxa"/>
            <w:vMerge w:val="continue"/>
            <w:tcBorders>
              <w:left w:val="single" w:color="auto" w:sz="8" w:space="0"/>
              <w:right w:val="single" w:color="auto" w:sz="8" w:space="0"/>
            </w:tcBorders>
            <w:shd w:val="clear" w:color="auto" w:fill="auto"/>
            <w:vAlign w:val="center"/>
          </w:tcPr>
          <w:p w14:paraId="4EC7FDDD">
            <w:pPr>
              <w:widowControl/>
              <w:jc w:val="center"/>
              <w:rPr>
                <w:rFonts w:ascii="Times New Roman" w:hAnsi="Times New Roman" w:eastAsia="等线" w:cs="Times New Roman"/>
                <w:b/>
                <w:bCs/>
                <w:kern w:val="0"/>
                <w:sz w:val="22"/>
              </w:rPr>
            </w:pPr>
          </w:p>
        </w:tc>
        <w:tc>
          <w:tcPr>
            <w:tcW w:w="737" w:type="dxa"/>
            <w:tcBorders>
              <w:top w:val="single" w:color="auto" w:sz="4" w:space="0"/>
              <w:left w:val="single" w:color="auto" w:sz="8" w:space="0"/>
              <w:bottom w:val="single" w:color="auto" w:sz="4" w:space="0"/>
              <w:right w:val="single" w:color="auto" w:sz="4" w:space="0"/>
            </w:tcBorders>
            <w:shd w:val="clear" w:color="auto" w:fill="auto"/>
            <w:noWrap/>
            <w:vAlign w:val="bottom"/>
          </w:tcPr>
          <w:p w14:paraId="6962D608">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29</w:t>
            </w:r>
          </w:p>
        </w:tc>
        <w:tc>
          <w:tcPr>
            <w:tcW w:w="0" w:type="auto"/>
            <w:tcBorders>
              <w:top w:val="single" w:color="auto" w:sz="4" w:space="0"/>
              <w:left w:val="single" w:color="auto" w:sz="4" w:space="0"/>
              <w:bottom w:val="single" w:color="auto" w:sz="4" w:space="0"/>
              <w:right w:val="single" w:color="auto" w:sz="8" w:space="0"/>
            </w:tcBorders>
            <w:shd w:val="clear" w:color="auto" w:fill="auto"/>
            <w:noWrap/>
            <w:vAlign w:val="center"/>
          </w:tcPr>
          <w:p w14:paraId="0FB9ED71">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企业碳排放信息披露的治理机制创新</w:t>
            </w:r>
          </w:p>
        </w:tc>
      </w:tr>
      <w:tr w14:paraId="1B05ED83">
        <w:tblPrEx>
          <w:tblCellMar>
            <w:top w:w="0" w:type="dxa"/>
            <w:left w:w="108" w:type="dxa"/>
            <w:bottom w:w="0" w:type="dxa"/>
            <w:right w:w="108" w:type="dxa"/>
          </w:tblCellMar>
        </w:tblPrEx>
        <w:trPr>
          <w:trHeight w:val="285" w:hRule="atLeast"/>
          <w:jc w:val="center"/>
        </w:trPr>
        <w:tc>
          <w:tcPr>
            <w:tcW w:w="1909" w:type="dxa"/>
            <w:vMerge w:val="continue"/>
            <w:tcBorders>
              <w:left w:val="single" w:color="auto" w:sz="8" w:space="0"/>
              <w:bottom w:val="single" w:color="000000" w:sz="8" w:space="0"/>
              <w:right w:val="single" w:color="auto" w:sz="8" w:space="0"/>
            </w:tcBorders>
            <w:shd w:val="clear" w:color="auto" w:fill="auto"/>
            <w:noWrap/>
            <w:vAlign w:val="center"/>
          </w:tcPr>
          <w:p w14:paraId="4A3E4337">
            <w:pPr>
              <w:widowControl/>
              <w:jc w:val="center"/>
              <w:rPr>
                <w:rFonts w:hint="eastAsia" w:ascii="仿宋" w:hAnsi="仿宋" w:eastAsia="仿宋" w:cs="宋体"/>
                <w:b/>
                <w:bCs/>
                <w:kern w:val="0"/>
                <w:sz w:val="22"/>
              </w:rPr>
            </w:pPr>
          </w:p>
        </w:tc>
        <w:tc>
          <w:tcPr>
            <w:tcW w:w="737" w:type="dxa"/>
            <w:tcBorders>
              <w:top w:val="single" w:color="auto" w:sz="4" w:space="0"/>
              <w:left w:val="single" w:color="auto" w:sz="8" w:space="0"/>
              <w:bottom w:val="single" w:color="auto" w:sz="8" w:space="0"/>
              <w:right w:val="single" w:color="auto" w:sz="4" w:space="0"/>
            </w:tcBorders>
            <w:shd w:val="clear" w:color="auto" w:fill="auto"/>
            <w:noWrap/>
            <w:vAlign w:val="bottom"/>
          </w:tcPr>
          <w:p w14:paraId="51A57736">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30</w:t>
            </w:r>
          </w:p>
        </w:tc>
        <w:tc>
          <w:tcPr>
            <w:tcW w:w="0" w:type="auto"/>
            <w:tcBorders>
              <w:top w:val="single" w:color="auto" w:sz="4" w:space="0"/>
              <w:left w:val="single" w:color="auto" w:sz="4" w:space="0"/>
              <w:bottom w:val="single" w:color="auto" w:sz="8" w:space="0"/>
              <w:right w:val="single" w:color="auto" w:sz="8" w:space="0"/>
            </w:tcBorders>
            <w:shd w:val="clear" w:color="auto" w:fill="auto"/>
            <w:noWrap/>
            <w:vAlign w:val="center"/>
          </w:tcPr>
          <w:p w14:paraId="53DB317A">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未来碳市场与人类生产生活</w:t>
            </w:r>
          </w:p>
        </w:tc>
      </w:tr>
      <w:tr w14:paraId="53338C0D">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right w:val="nil"/>
            </w:tcBorders>
            <w:shd w:val="clear" w:color="auto" w:fill="auto"/>
            <w:vAlign w:val="center"/>
          </w:tcPr>
          <w:p w14:paraId="764F84A9">
            <w:pPr>
              <w:widowControl/>
              <w:jc w:val="center"/>
              <w:rPr>
                <w:rFonts w:hint="eastAsia" w:ascii="仿宋" w:hAnsi="仿宋" w:eastAsia="仿宋" w:cs="宋体"/>
                <w:b/>
                <w:bCs/>
                <w:kern w:val="0"/>
                <w:sz w:val="22"/>
              </w:rPr>
            </w:pPr>
            <w:r>
              <w:rPr>
                <w:rFonts w:hint="eastAsia" w:ascii="仿宋" w:hAnsi="仿宋" w:eastAsia="仿宋" w:cs="宋体"/>
                <w:b/>
                <w:bCs/>
                <w:kern w:val="0"/>
                <w:sz w:val="22"/>
              </w:rPr>
              <w:t>赛道七：</w:t>
            </w:r>
          </w:p>
          <w:p w14:paraId="4D758C69">
            <w:pPr>
              <w:widowControl/>
              <w:jc w:val="center"/>
              <w:rPr>
                <w:rFonts w:hint="eastAsia" w:ascii="仿宋" w:hAnsi="仿宋" w:eastAsia="仿宋" w:cs="宋体"/>
                <w:b/>
                <w:bCs/>
                <w:kern w:val="0"/>
                <w:sz w:val="22"/>
              </w:rPr>
            </w:pPr>
            <w:r>
              <w:rPr>
                <w:rFonts w:hint="eastAsia" w:ascii="仿宋" w:hAnsi="仿宋" w:eastAsia="仿宋" w:cs="Times New Roman"/>
                <w:b/>
                <w:bCs/>
                <w:kern w:val="0"/>
                <w:sz w:val="22"/>
              </w:rPr>
              <w:t>双碳+</w:t>
            </w:r>
            <w:r>
              <w:rPr>
                <w:rFonts w:hint="eastAsia" w:ascii="仿宋" w:hAnsi="仿宋" w:eastAsia="仿宋" w:cs="宋体"/>
                <w:b/>
                <w:bCs/>
                <w:kern w:val="0"/>
                <w:sz w:val="22"/>
              </w:rPr>
              <w:t>农业生产与环境</w:t>
            </w:r>
          </w:p>
        </w:tc>
        <w:tc>
          <w:tcPr>
            <w:tcW w:w="737" w:type="dxa"/>
            <w:tcBorders>
              <w:top w:val="single" w:color="auto" w:sz="8" w:space="0"/>
              <w:left w:val="single" w:color="auto" w:sz="8" w:space="0"/>
              <w:bottom w:val="single" w:color="auto" w:sz="4" w:space="0"/>
              <w:right w:val="single" w:color="auto" w:sz="4" w:space="0"/>
            </w:tcBorders>
            <w:shd w:val="clear" w:color="auto" w:fill="auto"/>
            <w:noWrap/>
            <w:vAlign w:val="bottom"/>
          </w:tcPr>
          <w:p w14:paraId="31987F79">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31</w:t>
            </w:r>
          </w:p>
        </w:tc>
        <w:tc>
          <w:tcPr>
            <w:tcW w:w="0" w:type="auto"/>
            <w:tcBorders>
              <w:top w:val="single" w:color="auto" w:sz="8" w:space="0"/>
              <w:left w:val="nil"/>
              <w:bottom w:val="single" w:color="auto" w:sz="4" w:space="0"/>
              <w:right w:val="single" w:color="auto" w:sz="8" w:space="0"/>
            </w:tcBorders>
            <w:shd w:val="clear" w:color="auto" w:fill="auto"/>
            <w:noWrap/>
            <w:vAlign w:val="center"/>
          </w:tcPr>
          <w:p w14:paraId="425F0AF1">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种植业绿色生产和农产品低碳加工</w:t>
            </w:r>
          </w:p>
        </w:tc>
      </w:tr>
      <w:tr w14:paraId="72D8E59A">
        <w:tblPrEx>
          <w:tblCellMar>
            <w:top w:w="0" w:type="dxa"/>
            <w:left w:w="108" w:type="dxa"/>
            <w:bottom w:w="0" w:type="dxa"/>
            <w:right w:w="108" w:type="dxa"/>
          </w:tblCellMar>
        </w:tblPrEx>
        <w:trPr>
          <w:trHeight w:val="285" w:hRule="atLeast"/>
          <w:jc w:val="center"/>
        </w:trPr>
        <w:tc>
          <w:tcPr>
            <w:tcW w:w="1909" w:type="dxa"/>
            <w:vMerge w:val="continue"/>
            <w:tcBorders>
              <w:left w:val="single" w:color="auto" w:sz="8" w:space="0"/>
              <w:right w:val="nil"/>
            </w:tcBorders>
            <w:shd w:val="clear" w:color="auto" w:fill="auto"/>
            <w:vAlign w:val="center"/>
          </w:tcPr>
          <w:p w14:paraId="7B90BA04">
            <w:pPr>
              <w:widowControl/>
              <w:jc w:val="center"/>
              <w:rPr>
                <w:rFonts w:hint="eastAsia" w:ascii="仿宋" w:hAnsi="仿宋" w:eastAsia="仿宋" w:cs="宋体"/>
                <w:b/>
                <w:bCs/>
                <w:kern w:val="0"/>
                <w:sz w:val="22"/>
              </w:rPr>
            </w:pPr>
          </w:p>
        </w:tc>
        <w:tc>
          <w:tcPr>
            <w:tcW w:w="737" w:type="dxa"/>
            <w:tcBorders>
              <w:top w:val="nil"/>
              <w:left w:val="single" w:color="auto" w:sz="8" w:space="0"/>
              <w:bottom w:val="single" w:color="auto" w:sz="4" w:space="0"/>
              <w:right w:val="single" w:color="auto" w:sz="4" w:space="0"/>
            </w:tcBorders>
            <w:shd w:val="clear" w:color="auto" w:fill="auto"/>
            <w:noWrap/>
            <w:vAlign w:val="bottom"/>
          </w:tcPr>
          <w:p w14:paraId="7A3D2FD9">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32</w:t>
            </w:r>
          </w:p>
        </w:tc>
        <w:tc>
          <w:tcPr>
            <w:tcW w:w="0" w:type="auto"/>
            <w:tcBorders>
              <w:top w:val="nil"/>
              <w:left w:val="nil"/>
              <w:bottom w:val="single" w:color="auto" w:sz="4" w:space="0"/>
              <w:right w:val="single" w:color="auto" w:sz="8" w:space="0"/>
            </w:tcBorders>
            <w:shd w:val="clear" w:color="auto" w:fill="auto"/>
            <w:noWrap/>
            <w:vAlign w:val="center"/>
          </w:tcPr>
          <w:p w14:paraId="1861968A">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养殖业减排降碳与产品设计</w:t>
            </w:r>
          </w:p>
        </w:tc>
      </w:tr>
      <w:tr w14:paraId="75AAC281">
        <w:tblPrEx>
          <w:tblCellMar>
            <w:top w:w="0" w:type="dxa"/>
            <w:left w:w="108" w:type="dxa"/>
            <w:bottom w:w="0" w:type="dxa"/>
            <w:right w:w="108" w:type="dxa"/>
          </w:tblCellMar>
        </w:tblPrEx>
        <w:trPr>
          <w:trHeight w:val="285" w:hRule="atLeast"/>
          <w:jc w:val="center"/>
        </w:trPr>
        <w:tc>
          <w:tcPr>
            <w:tcW w:w="1909" w:type="dxa"/>
            <w:vMerge w:val="continue"/>
            <w:tcBorders>
              <w:left w:val="single" w:color="auto" w:sz="8" w:space="0"/>
              <w:right w:val="nil"/>
            </w:tcBorders>
            <w:shd w:val="clear" w:color="auto" w:fill="auto"/>
            <w:vAlign w:val="center"/>
          </w:tcPr>
          <w:p w14:paraId="05ED2B00">
            <w:pPr>
              <w:widowControl/>
              <w:jc w:val="center"/>
              <w:rPr>
                <w:rFonts w:hint="eastAsia" w:ascii="仿宋" w:hAnsi="仿宋" w:eastAsia="仿宋" w:cs="宋体"/>
                <w:b/>
                <w:bCs/>
                <w:kern w:val="0"/>
                <w:sz w:val="22"/>
              </w:rPr>
            </w:pPr>
          </w:p>
        </w:tc>
        <w:tc>
          <w:tcPr>
            <w:tcW w:w="737" w:type="dxa"/>
            <w:tcBorders>
              <w:top w:val="nil"/>
              <w:left w:val="single" w:color="auto" w:sz="8" w:space="0"/>
              <w:bottom w:val="single" w:color="auto" w:sz="4" w:space="0"/>
              <w:right w:val="single" w:color="auto" w:sz="4" w:space="0"/>
            </w:tcBorders>
            <w:shd w:val="clear" w:color="auto" w:fill="auto"/>
            <w:noWrap/>
            <w:vAlign w:val="bottom"/>
          </w:tcPr>
          <w:p w14:paraId="769761C2">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33</w:t>
            </w:r>
          </w:p>
        </w:tc>
        <w:tc>
          <w:tcPr>
            <w:tcW w:w="0" w:type="auto"/>
            <w:tcBorders>
              <w:top w:val="nil"/>
              <w:left w:val="nil"/>
              <w:bottom w:val="single" w:color="auto" w:sz="4" w:space="0"/>
              <w:right w:val="single" w:color="auto" w:sz="8" w:space="0"/>
            </w:tcBorders>
            <w:shd w:val="clear" w:color="auto" w:fill="auto"/>
            <w:noWrap/>
            <w:vAlign w:val="center"/>
          </w:tcPr>
          <w:p w14:paraId="288E499D">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农业水土资源高效利用技术与治理方法</w:t>
            </w:r>
          </w:p>
        </w:tc>
      </w:tr>
      <w:tr w14:paraId="4356D857">
        <w:tblPrEx>
          <w:tblCellMar>
            <w:top w:w="0" w:type="dxa"/>
            <w:left w:w="108" w:type="dxa"/>
            <w:bottom w:w="0" w:type="dxa"/>
            <w:right w:w="108" w:type="dxa"/>
          </w:tblCellMar>
        </w:tblPrEx>
        <w:trPr>
          <w:trHeight w:val="285" w:hRule="atLeast"/>
          <w:jc w:val="center"/>
        </w:trPr>
        <w:tc>
          <w:tcPr>
            <w:tcW w:w="1909" w:type="dxa"/>
            <w:vMerge w:val="continue"/>
            <w:tcBorders>
              <w:left w:val="single" w:color="auto" w:sz="8" w:space="0"/>
              <w:right w:val="nil"/>
            </w:tcBorders>
            <w:shd w:val="clear" w:color="auto" w:fill="auto"/>
            <w:vAlign w:val="center"/>
          </w:tcPr>
          <w:p w14:paraId="32F4D117">
            <w:pPr>
              <w:widowControl/>
              <w:jc w:val="center"/>
              <w:rPr>
                <w:rFonts w:hint="eastAsia" w:ascii="仿宋" w:hAnsi="仿宋" w:eastAsia="仿宋" w:cs="宋体"/>
                <w:b/>
                <w:bCs/>
                <w:kern w:val="0"/>
                <w:sz w:val="22"/>
              </w:rPr>
            </w:pPr>
          </w:p>
        </w:tc>
        <w:tc>
          <w:tcPr>
            <w:tcW w:w="737" w:type="dxa"/>
            <w:tcBorders>
              <w:top w:val="nil"/>
              <w:left w:val="single" w:color="auto" w:sz="8" w:space="0"/>
              <w:bottom w:val="single" w:color="auto" w:sz="4" w:space="0"/>
              <w:right w:val="single" w:color="auto" w:sz="4" w:space="0"/>
            </w:tcBorders>
            <w:shd w:val="clear" w:color="auto" w:fill="auto"/>
            <w:noWrap/>
            <w:vAlign w:val="bottom"/>
          </w:tcPr>
          <w:p w14:paraId="75062D81">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34</w:t>
            </w:r>
          </w:p>
        </w:tc>
        <w:tc>
          <w:tcPr>
            <w:tcW w:w="0" w:type="auto"/>
            <w:tcBorders>
              <w:top w:val="nil"/>
              <w:left w:val="nil"/>
              <w:bottom w:val="single" w:color="auto" w:sz="4" w:space="0"/>
              <w:right w:val="single" w:color="auto" w:sz="8" w:space="0"/>
            </w:tcBorders>
            <w:shd w:val="clear" w:color="auto" w:fill="auto"/>
            <w:noWrap/>
            <w:vAlign w:val="center"/>
          </w:tcPr>
          <w:p w14:paraId="090C9904">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农机节能减排与农业信息化技术</w:t>
            </w:r>
          </w:p>
        </w:tc>
      </w:tr>
      <w:tr w14:paraId="4380B4B7">
        <w:tblPrEx>
          <w:tblCellMar>
            <w:top w:w="0" w:type="dxa"/>
            <w:left w:w="108" w:type="dxa"/>
            <w:bottom w:w="0" w:type="dxa"/>
            <w:right w:w="108" w:type="dxa"/>
          </w:tblCellMar>
        </w:tblPrEx>
        <w:trPr>
          <w:trHeight w:val="285" w:hRule="atLeast"/>
          <w:jc w:val="center"/>
        </w:trPr>
        <w:tc>
          <w:tcPr>
            <w:tcW w:w="1909" w:type="dxa"/>
            <w:vMerge w:val="continue"/>
            <w:tcBorders>
              <w:left w:val="single" w:color="auto" w:sz="8" w:space="0"/>
              <w:bottom w:val="single" w:color="000000" w:sz="8" w:space="0"/>
              <w:right w:val="nil"/>
            </w:tcBorders>
            <w:shd w:val="clear" w:color="auto" w:fill="auto"/>
            <w:vAlign w:val="center"/>
          </w:tcPr>
          <w:p w14:paraId="75B649AF">
            <w:pPr>
              <w:widowControl/>
              <w:jc w:val="center"/>
              <w:rPr>
                <w:rFonts w:hint="eastAsia" w:ascii="仿宋" w:hAnsi="仿宋" w:eastAsia="仿宋" w:cs="宋体"/>
                <w:b/>
                <w:bCs/>
                <w:kern w:val="0"/>
                <w:sz w:val="22"/>
              </w:rPr>
            </w:pPr>
          </w:p>
        </w:tc>
        <w:tc>
          <w:tcPr>
            <w:tcW w:w="737" w:type="dxa"/>
            <w:tcBorders>
              <w:top w:val="single" w:color="auto" w:sz="4" w:space="0"/>
              <w:left w:val="single" w:color="auto" w:sz="8" w:space="0"/>
              <w:bottom w:val="single" w:color="auto" w:sz="8" w:space="0"/>
              <w:right w:val="single" w:color="auto" w:sz="4" w:space="0"/>
            </w:tcBorders>
            <w:shd w:val="clear" w:color="auto" w:fill="auto"/>
            <w:noWrap/>
            <w:vAlign w:val="bottom"/>
          </w:tcPr>
          <w:p w14:paraId="6D35B4BC">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35</w:t>
            </w:r>
          </w:p>
        </w:tc>
        <w:tc>
          <w:tcPr>
            <w:tcW w:w="0" w:type="auto"/>
            <w:tcBorders>
              <w:top w:val="single" w:color="auto" w:sz="4" w:space="0"/>
              <w:left w:val="nil"/>
              <w:bottom w:val="single" w:color="auto" w:sz="8" w:space="0"/>
              <w:right w:val="single" w:color="auto" w:sz="8" w:space="0"/>
            </w:tcBorders>
            <w:shd w:val="clear" w:color="auto" w:fill="auto"/>
            <w:noWrap/>
            <w:vAlign w:val="center"/>
          </w:tcPr>
          <w:p w14:paraId="40637B5F">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农业减排固碳的支撑体系</w:t>
            </w:r>
          </w:p>
        </w:tc>
      </w:tr>
      <w:tr w14:paraId="6A458AE8">
        <w:tblPrEx>
          <w:tblCellMar>
            <w:top w:w="0" w:type="dxa"/>
            <w:left w:w="108" w:type="dxa"/>
            <w:bottom w:w="0" w:type="dxa"/>
            <w:right w:w="108" w:type="dxa"/>
          </w:tblCellMar>
        </w:tblPrEx>
        <w:trPr>
          <w:trHeight w:val="285" w:hRule="atLeast"/>
          <w:jc w:val="center"/>
        </w:trPr>
        <w:tc>
          <w:tcPr>
            <w:tcW w:w="1909" w:type="dxa"/>
            <w:vMerge w:val="restart"/>
            <w:tcBorders>
              <w:top w:val="nil"/>
              <w:left w:val="single" w:color="auto" w:sz="8" w:space="0"/>
              <w:bottom w:val="single" w:color="000000" w:sz="8" w:space="0"/>
              <w:right w:val="single" w:color="auto" w:sz="8" w:space="0"/>
            </w:tcBorders>
            <w:shd w:val="clear" w:color="auto" w:fill="auto"/>
            <w:noWrap/>
            <w:vAlign w:val="center"/>
          </w:tcPr>
          <w:p w14:paraId="4F5304A1">
            <w:pPr>
              <w:widowControl/>
              <w:jc w:val="center"/>
              <w:rPr>
                <w:rFonts w:hint="eastAsia" w:ascii="仿宋" w:hAnsi="仿宋" w:eastAsia="仿宋" w:cs="Times New Roman"/>
                <w:b/>
                <w:bCs/>
                <w:kern w:val="0"/>
                <w:sz w:val="22"/>
              </w:rPr>
            </w:pPr>
            <w:r>
              <w:rPr>
                <w:rFonts w:hint="eastAsia" w:ascii="仿宋" w:hAnsi="仿宋" w:eastAsia="仿宋" w:cs="Times New Roman"/>
                <w:b/>
                <w:bCs/>
                <w:kern w:val="0"/>
                <w:sz w:val="22"/>
              </w:rPr>
              <w:t>赛道八：</w:t>
            </w:r>
          </w:p>
          <w:p w14:paraId="20FEBC19">
            <w:pPr>
              <w:widowControl/>
              <w:jc w:val="center"/>
              <w:rPr>
                <w:rFonts w:ascii="Times New Roman" w:hAnsi="Times New Roman" w:eastAsia="等线" w:cs="Times New Roman"/>
                <w:b/>
                <w:bCs/>
                <w:kern w:val="0"/>
                <w:sz w:val="22"/>
              </w:rPr>
            </w:pPr>
            <w:r>
              <w:rPr>
                <w:rFonts w:hint="eastAsia" w:ascii="仿宋" w:hAnsi="仿宋" w:eastAsia="仿宋" w:cs="Times New Roman"/>
                <w:b/>
                <w:bCs/>
                <w:kern w:val="0"/>
                <w:sz w:val="22"/>
              </w:rPr>
              <w:t>双碳+工程热化学</w:t>
            </w:r>
          </w:p>
        </w:tc>
        <w:tc>
          <w:tcPr>
            <w:tcW w:w="737" w:type="dxa"/>
            <w:tcBorders>
              <w:top w:val="single" w:color="auto" w:sz="8" w:space="0"/>
              <w:left w:val="nil"/>
              <w:bottom w:val="single" w:color="auto" w:sz="4" w:space="0"/>
              <w:right w:val="single" w:color="auto" w:sz="4" w:space="0"/>
            </w:tcBorders>
            <w:shd w:val="clear" w:color="auto" w:fill="auto"/>
            <w:noWrap/>
            <w:vAlign w:val="bottom"/>
          </w:tcPr>
          <w:p w14:paraId="6782CBBE">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36</w:t>
            </w:r>
          </w:p>
        </w:tc>
        <w:tc>
          <w:tcPr>
            <w:tcW w:w="0" w:type="auto"/>
            <w:tcBorders>
              <w:top w:val="single" w:color="auto" w:sz="8" w:space="0"/>
              <w:left w:val="nil"/>
              <w:bottom w:val="single" w:color="auto" w:sz="4" w:space="0"/>
              <w:right w:val="single" w:color="auto" w:sz="8" w:space="0"/>
            </w:tcBorders>
            <w:shd w:val="clear" w:color="auto" w:fill="auto"/>
            <w:noWrap/>
            <w:vAlign w:val="center"/>
          </w:tcPr>
          <w:p w14:paraId="1FCF2EDD">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热化学反应过程碳减排</w:t>
            </w:r>
          </w:p>
        </w:tc>
      </w:tr>
      <w:tr w14:paraId="14FAEF66">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08EED015">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4CB17B63">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37</w:t>
            </w:r>
          </w:p>
        </w:tc>
        <w:tc>
          <w:tcPr>
            <w:tcW w:w="0" w:type="auto"/>
            <w:tcBorders>
              <w:top w:val="nil"/>
              <w:left w:val="nil"/>
              <w:bottom w:val="single" w:color="auto" w:sz="4" w:space="0"/>
              <w:right w:val="single" w:color="auto" w:sz="8" w:space="0"/>
            </w:tcBorders>
            <w:shd w:val="clear" w:color="auto" w:fill="auto"/>
            <w:noWrap/>
            <w:vAlign w:val="center"/>
          </w:tcPr>
          <w:p w14:paraId="4FD762ED">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工业过程化石碳替代</w:t>
            </w:r>
          </w:p>
        </w:tc>
      </w:tr>
      <w:tr w14:paraId="3D5D4171">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79BED299">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28A240C7">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38</w:t>
            </w:r>
          </w:p>
        </w:tc>
        <w:tc>
          <w:tcPr>
            <w:tcW w:w="0" w:type="auto"/>
            <w:tcBorders>
              <w:top w:val="nil"/>
              <w:left w:val="nil"/>
              <w:bottom w:val="single" w:color="auto" w:sz="4" w:space="0"/>
              <w:right w:val="single" w:color="auto" w:sz="8" w:space="0"/>
            </w:tcBorders>
            <w:shd w:val="clear" w:color="auto" w:fill="auto"/>
            <w:noWrap/>
            <w:vAlign w:val="center"/>
          </w:tcPr>
          <w:p w14:paraId="739BDC3F">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绿色低碳工程热化学</w:t>
            </w:r>
          </w:p>
        </w:tc>
      </w:tr>
      <w:tr w14:paraId="1923C0B9">
        <w:tblPrEx>
          <w:tblCellMar>
            <w:top w:w="0" w:type="dxa"/>
            <w:left w:w="108" w:type="dxa"/>
            <w:bottom w:w="0" w:type="dxa"/>
            <w:right w:w="108" w:type="dxa"/>
          </w:tblCellMar>
        </w:tblPrEx>
        <w:trPr>
          <w:trHeight w:val="285"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3DA45CE6">
            <w:pPr>
              <w:widowControl/>
              <w:jc w:val="center"/>
              <w:rPr>
                <w:rFonts w:ascii="Times New Roman" w:hAnsi="Times New Roman" w:eastAsia="等线" w:cs="Times New Roman"/>
                <w:b/>
                <w:bCs/>
                <w:kern w:val="0"/>
                <w:sz w:val="22"/>
              </w:rPr>
            </w:pPr>
          </w:p>
        </w:tc>
        <w:tc>
          <w:tcPr>
            <w:tcW w:w="737" w:type="dxa"/>
            <w:tcBorders>
              <w:top w:val="nil"/>
              <w:left w:val="nil"/>
              <w:bottom w:val="single" w:color="auto" w:sz="4" w:space="0"/>
              <w:right w:val="single" w:color="auto" w:sz="4" w:space="0"/>
            </w:tcBorders>
            <w:shd w:val="clear" w:color="auto" w:fill="auto"/>
            <w:noWrap/>
            <w:vAlign w:val="bottom"/>
          </w:tcPr>
          <w:p w14:paraId="658CBD04">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39</w:t>
            </w:r>
          </w:p>
        </w:tc>
        <w:tc>
          <w:tcPr>
            <w:tcW w:w="0" w:type="auto"/>
            <w:tcBorders>
              <w:top w:val="nil"/>
              <w:left w:val="nil"/>
              <w:bottom w:val="single" w:color="auto" w:sz="4" w:space="0"/>
              <w:right w:val="single" w:color="auto" w:sz="8" w:space="0"/>
            </w:tcBorders>
            <w:shd w:val="clear" w:color="auto" w:fill="auto"/>
            <w:noWrap/>
            <w:vAlign w:val="center"/>
          </w:tcPr>
          <w:p w14:paraId="633C3E02">
            <w:pPr>
              <w:widowControl/>
              <w:jc w:val="center"/>
              <w:rPr>
                <w:rFonts w:ascii="Times New Roman" w:hAnsi="Times New Roman" w:eastAsia="等线" w:cs="Times New Roman"/>
                <w:kern w:val="0"/>
                <w:sz w:val="22"/>
              </w:rPr>
            </w:pPr>
            <w:r>
              <w:rPr>
                <w:rFonts w:hint="eastAsia" w:ascii="仿宋" w:hAnsi="仿宋" w:eastAsia="仿宋" w:cs="Times New Roman"/>
                <w:kern w:val="0"/>
                <w:sz w:val="22"/>
              </w:rPr>
              <w:t>资源循环工程热化学</w:t>
            </w:r>
          </w:p>
        </w:tc>
      </w:tr>
      <w:tr w14:paraId="6A84D656">
        <w:tblPrEx>
          <w:tblCellMar>
            <w:top w:w="0" w:type="dxa"/>
            <w:left w:w="108" w:type="dxa"/>
            <w:bottom w:w="0" w:type="dxa"/>
            <w:right w:w="108" w:type="dxa"/>
          </w:tblCellMar>
        </w:tblPrEx>
        <w:trPr>
          <w:trHeight w:val="293" w:hRule="atLeast"/>
          <w:jc w:val="center"/>
        </w:trPr>
        <w:tc>
          <w:tcPr>
            <w:tcW w:w="1909" w:type="dxa"/>
            <w:vMerge w:val="continue"/>
            <w:tcBorders>
              <w:top w:val="nil"/>
              <w:left w:val="single" w:color="auto" w:sz="8" w:space="0"/>
              <w:bottom w:val="single" w:color="000000" w:sz="8" w:space="0"/>
              <w:right w:val="single" w:color="auto" w:sz="8" w:space="0"/>
            </w:tcBorders>
            <w:shd w:val="clear" w:color="auto" w:fill="auto"/>
            <w:vAlign w:val="center"/>
          </w:tcPr>
          <w:p w14:paraId="0BA54590">
            <w:pPr>
              <w:widowControl/>
              <w:jc w:val="center"/>
              <w:rPr>
                <w:rFonts w:ascii="Times New Roman" w:hAnsi="Times New Roman" w:eastAsia="等线" w:cs="Times New Roman"/>
                <w:b/>
                <w:bCs/>
                <w:kern w:val="0"/>
                <w:sz w:val="22"/>
              </w:rPr>
            </w:pPr>
          </w:p>
        </w:tc>
        <w:tc>
          <w:tcPr>
            <w:tcW w:w="737" w:type="dxa"/>
            <w:tcBorders>
              <w:top w:val="nil"/>
              <w:left w:val="nil"/>
              <w:bottom w:val="single" w:color="auto" w:sz="8" w:space="0"/>
              <w:right w:val="single" w:color="auto" w:sz="4" w:space="0"/>
            </w:tcBorders>
            <w:shd w:val="clear" w:color="auto" w:fill="auto"/>
            <w:noWrap/>
            <w:vAlign w:val="bottom"/>
          </w:tcPr>
          <w:p w14:paraId="5E6A5C4F">
            <w:pPr>
              <w:widowControl/>
              <w:jc w:val="center"/>
              <w:rPr>
                <w:rFonts w:ascii="Times New Roman" w:hAnsi="Times New Roman" w:eastAsia="等线" w:cs="Times New Roman"/>
                <w:kern w:val="0"/>
                <w:sz w:val="22"/>
              </w:rPr>
            </w:pPr>
            <w:r>
              <w:rPr>
                <w:rFonts w:ascii="Times New Roman" w:hAnsi="Times New Roman" w:eastAsia="等线" w:cs="Times New Roman"/>
                <w:color w:val="000000"/>
                <w:sz w:val="22"/>
              </w:rPr>
              <w:t>40</w:t>
            </w:r>
          </w:p>
        </w:tc>
        <w:tc>
          <w:tcPr>
            <w:tcW w:w="0" w:type="auto"/>
            <w:tcBorders>
              <w:top w:val="nil"/>
              <w:left w:val="nil"/>
              <w:bottom w:val="single" w:color="auto" w:sz="8" w:space="0"/>
              <w:right w:val="single" w:color="auto" w:sz="8" w:space="0"/>
            </w:tcBorders>
            <w:shd w:val="clear" w:color="auto" w:fill="auto"/>
            <w:noWrap/>
            <w:vAlign w:val="center"/>
          </w:tcPr>
          <w:p w14:paraId="316428FA">
            <w:pPr>
              <w:widowControl/>
              <w:jc w:val="center"/>
              <w:rPr>
                <w:rFonts w:ascii="Times New Roman" w:hAnsi="Times New Roman" w:eastAsia="等线" w:cs="Times New Roman"/>
                <w:kern w:val="0"/>
                <w:sz w:val="22"/>
              </w:rPr>
            </w:pPr>
            <w:r>
              <w:rPr>
                <w:rFonts w:ascii="Times New Roman" w:hAnsi="Times New Roman" w:eastAsia="等线" w:cs="Times New Roman"/>
                <w:kern w:val="0"/>
                <w:sz w:val="22"/>
              </w:rPr>
              <w:t>CCUS</w:t>
            </w:r>
            <w:r>
              <w:rPr>
                <w:rFonts w:hint="eastAsia" w:ascii="仿宋" w:hAnsi="仿宋" w:eastAsia="仿宋" w:cs="Times New Roman"/>
                <w:kern w:val="0"/>
                <w:sz w:val="22"/>
              </w:rPr>
              <w:t>与前沿工程热化学</w:t>
            </w:r>
          </w:p>
        </w:tc>
      </w:tr>
    </w:tbl>
    <w:p w14:paraId="234B476A">
      <w:pPr>
        <w:widowControl/>
        <w:jc w:val="left"/>
        <w:rPr>
          <w:rFonts w:hint="eastAsia" w:ascii="仿宋" w:hAnsi="仿宋" w:eastAsia="仿宋" w:cs="方正小标宋简体"/>
          <w:sz w:val="32"/>
          <w:szCs w:val="32"/>
        </w:rPr>
      </w:pPr>
      <w:r>
        <w:rPr>
          <w:rFonts w:hint="eastAsia" w:ascii="仿宋" w:hAnsi="仿宋" w:eastAsia="仿宋" w:cs="方正小标宋简体"/>
          <w:sz w:val="32"/>
          <w:szCs w:val="32"/>
        </w:rPr>
        <w:br w:type="page"/>
      </w:r>
    </w:p>
    <w:p w14:paraId="032BA363">
      <w:pPr>
        <w:snapToGrid w:val="0"/>
        <w:spacing w:before="120" w:beforeLines="50" w:after="120" w:afterLines="50" w:line="500" w:lineRule="exact"/>
        <w:jc w:val="center"/>
        <w:rPr>
          <w:rFonts w:hint="eastAsia" w:ascii="仿宋" w:hAnsi="仿宋" w:eastAsia="仿宋" w:cs="仿宋_GB2312"/>
          <w:b/>
          <w:bCs/>
          <w:sz w:val="32"/>
          <w:szCs w:val="32"/>
        </w:rPr>
      </w:pPr>
      <w:bookmarkStart w:id="0" w:name="_Toc18218"/>
      <w:r>
        <w:rPr>
          <w:rFonts w:hint="eastAsia" w:ascii="仿宋" w:hAnsi="仿宋" w:eastAsia="仿宋" w:cs="仿宋_GB2312"/>
          <w:b/>
          <w:bCs/>
          <w:sz w:val="32"/>
          <w:szCs w:val="32"/>
        </w:rPr>
        <w:t>命题1（赛道一：双碳+环境与绿色科技）</w:t>
      </w:r>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DCC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20" w:type="dxa"/>
          </w:tcPr>
          <w:p w14:paraId="3C27CC0E">
            <w:pPr>
              <w:snapToGrid w:val="0"/>
              <w:spacing w:before="120" w:beforeLines="50" w:after="120" w:afterLines="50"/>
              <w:rPr>
                <w:rFonts w:hint="eastAsia" w:ascii="仿宋" w:hAnsi="仿宋" w:eastAsia="仿宋" w:cs="仿宋"/>
                <w:b/>
                <w:bCs/>
                <w:kern w:val="0"/>
                <w:sz w:val="28"/>
                <w:szCs w:val="28"/>
              </w:rPr>
            </w:pPr>
            <w:bookmarkStart w:id="1" w:name="_Toc20782"/>
            <w:r>
              <w:rPr>
                <w:rFonts w:hint="eastAsia" w:ascii="仿宋" w:hAnsi="仿宋" w:eastAsia="仿宋" w:cs="仿宋"/>
                <w:b/>
                <w:bCs/>
                <w:kern w:val="0"/>
                <w:sz w:val="28"/>
                <w:szCs w:val="28"/>
              </w:rPr>
              <w:t>主题：水处理工艺的碳减排及能量回收技术</w:t>
            </w:r>
            <w:bookmarkEnd w:id="1"/>
          </w:p>
        </w:tc>
      </w:tr>
      <w:tr w14:paraId="07BE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780F46A6">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7D164D88">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水处理行业是支撑现代城市运转的基石，城市生活、生产在供排水系统的支持下才得以正常进行。但水处理厂的运行会消耗大量电力，大量碳排放也伴随着高额电耗产生。传统的城镇污水处理技术（如活性污泥法）在净化污水的同时消耗了大量能源。据统计，我国城镇污水处理能耗约占全社会用电量的1%左右，温室气体排放量超过1亿吨二氧化碳当量。除了高能耗问题，传统污水处理厂还面临着水资源再生率低、污泥资源利用率低等问题，存在大量的减碳潜力。另一方面，污水是资源与能源的载体，其中所含有机碳资源所蕴含能量可达污水处理能耗的5至10倍，这意味着若能高效捕捉利用污水中的有机碳源，回收其能量，用来反哺城镇污水处理厂的运行能耗，可以实现能源自给，并降低污水处理厂生命周期内的温室气体排放，最终达到碳中和运行。未来双碳政策力度将进一步加强，水处理行业应该如何在双碳理念的指导下解决水资源低再生利用率问题、降低水处理过程能耗、实现污水和污泥资源化，助力双碳政策推进呢？</w:t>
            </w:r>
            <w:r>
              <w:rPr>
                <w:rFonts w:hint="eastAsia" w:ascii="仿宋" w:hAnsi="仿宋" w:eastAsia="仿宋" w:cs="仿宋"/>
                <w:kern w:val="0"/>
                <w:sz w:val="28"/>
                <w:szCs w:val="28"/>
              </w:rPr>
              <w:tab/>
            </w:r>
          </w:p>
          <w:p w14:paraId="5BA944BA">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拟通过本主题，通力合作，运用水处理新工艺，发展污水有机碳源捕捉与能量回收技术，推动低能耗和高效的水处理系统的发展和应用，实现污水和污泥资源化，探索绿色、低碳的水处理方法。</w:t>
            </w:r>
          </w:p>
        </w:tc>
      </w:tr>
      <w:tr w14:paraId="5D55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8220" w:type="dxa"/>
          </w:tcPr>
          <w:p w14:paraId="33C7F528">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1914CF55">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1.新概念水厂</w:t>
            </w:r>
          </w:p>
          <w:p w14:paraId="4E62B483">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2.低碳的污水处理技术及污水有机碳源捕捉与能量回收技术</w:t>
            </w:r>
          </w:p>
          <w:p w14:paraId="3BB3EE1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3.基于新能源的污水处理材料及技术</w:t>
            </w:r>
          </w:p>
          <w:p w14:paraId="00C2B74A">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4.污水处理厂碳排放核算</w:t>
            </w:r>
          </w:p>
          <w:p w14:paraId="48FE42D0">
            <w:pPr>
              <w:snapToGrid w:val="0"/>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5.降低有机废水处理CO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排放和高效低碳的再生水工艺</w:t>
            </w:r>
          </w:p>
        </w:tc>
      </w:tr>
    </w:tbl>
    <w:p w14:paraId="44F7E94A">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14:paraId="75BD9BB7">
      <w:pPr>
        <w:snapToGrid w:val="0"/>
        <w:spacing w:line="58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（赛道一：双碳+环境与绿色科技）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740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220" w:type="dxa"/>
          </w:tcPr>
          <w:p w14:paraId="060BA189">
            <w:pPr>
              <w:snapToGrid w:val="0"/>
              <w:spacing w:before="120" w:beforeLines="50" w:after="120" w:afterLines="50"/>
              <w:rPr>
                <w:rFonts w:hint="eastAsia" w:ascii="仿宋" w:hAnsi="仿宋" w:eastAsia="仿宋" w:cs="仿宋"/>
                <w:kern w:val="0"/>
                <w:sz w:val="32"/>
                <w:szCs w:val="32"/>
              </w:rPr>
            </w:pPr>
            <w:r>
              <w:rPr>
                <w:rFonts w:hint="eastAsia" w:ascii="仿宋" w:hAnsi="仿宋" w:eastAsia="仿宋" w:cs="仿宋"/>
                <w:b/>
                <w:bCs/>
                <w:kern w:val="0"/>
                <w:sz w:val="28"/>
                <w:szCs w:val="28"/>
              </w:rPr>
              <w:t>主题：土壤固碳增汇与农田减污降碳协同增效绿色治理技术</w:t>
            </w:r>
          </w:p>
        </w:tc>
      </w:tr>
      <w:tr w14:paraId="6DD7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14:paraId="5B33802D">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1C91B08">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土壤碳库是陆地生态系统中最大的碳库，目前全球每年向大气排放的CO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约31%被土壤固持，若采取有效措施使全球土壤碳储量每年增加1%则将抵消大气排放62.5%。土壤既表现出巨大的固碳潜力，但也有可能从碳汇转变为碳源从而加剧碳排放，因此通过有效行动来增加土壤碳稳定性并实现大范围提升土壤碳储量，推进农业农村领域减排固碳助力“双碳”目标成为迫在眉睫的问题。目前土壤固碳增汇的主要途径包括技术固碳即碳捕集、利用和封存（CCUS），以及生态系统固碳，但有关科学机制和实用技术还需研究突破。另一方面，土壤重金属污染、农林业废弃物等农业环境问题也是制约我国农业绿色发展和乡村振兴的重要因素，农田污染防治和废弃物资源化利用备受关注，但实践中仍存在不少困难和挑战，尤其是急需兼顾减污和降碳的绿色低碳治理技术。充分考虑生命周期评价（LCA）以及农业生态系统和土壤、植物、生物质炭等固碳功能，对上述问题提供了潜在解决方案。</w:t>
            </w:r>
          </w:p>
          <w:p w14:paraId="7B1EF631">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合众之力，推动陆地生态系统土壤“固碳增汇”以及农林业废弃物资源化利用和重金属污染农田治理修复技术的创新发展，实现农业生态环境的“减污降碳”协同增效绿色治理，服务“双碳”目标、粮食安全、农业高质量发展和保障人民健康。</w:t>
            </w:r>
          </w:p>
        </w:tc>
      </w:tr>
      <w:tr w14:paraId="1BF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06E41C52">
            <w:pPr>
              <w:snapToGrid w:val="0"/>
              <w:spacing w:before="120" w:beforeLines="50" w:after="120" w:afterLines="50"/>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14:paraId="781F35DA">
            <w:pPr>
              <w:snapToGrid w:val="0"/>
              <w:spacing w:line="312" w:lineRule="auto"/>
              <w:jc w:val="left"/>
              <w:rPr>
                <w:rFonts w:hint="eastAsia" w:ascii="仿宋" w:hAnsi="仿宋" w:eastAsia="仿宋" w:cs="仿宋"/>
                <w:kern w:val="0"/>
                <w:sz w:val="28"/>
                <w:szCs w:val="28"/>
              </w:rPr>
            </w:pPr>
            <w:r>
              <w:rPr>
                <w:rFonts w:hint="eastAsia" w:ascii="仿宋" w:hAnsi="仿宋" w:eastAsia="仿宋" w:cs="仿宋"/>
                <w:kern w:val="0"/>
                <w:sz w:val="28"/>
                <w:szCs w:val="28"/>
              </w:rPr>
              <w:t>1.陆地生态系统典型土壤的固碳增汇创新技术与有效措施</w:t>
            </w:r>
          </w:p>
          <w:p w14:paraId="6061D1A6">
            <w:pPr>
              <w:snapToGrid w:val="0"/>
              <w:spacing w:line="312" w:lineRule="auto"/>
              <w:jc w:val="left"/>
              <w:rPr>
                <w:rFonts w:hint="eastAsia" w:ascii="仿宋" w:hAnsi="仿宋" w:eastAsia="仿宋" w:cs="仿宋"/>
                <w:kern w:val="0"/>
                <w:sz w:val="28"/>
                <w:szCs w:val="28"/>
              </w:rPr>
            </w:pPr>
            <w:r>
              <w:rPr>
                <w:rFonts w:hint="eastAsia" w:ascii="仿宋" w:hAnsi="仿宋" w:eastAsia="仿宋" w:cs="仿宋"/>
                <w:kern w:val="0"/>
                <w:sz w:val="28"/>
                <w:szCs w:val="28"/>
              </w:rPr>
              <w:t>2.农林业废弃物的生物质能源和炭化等资源再利用技术</w:t>
            </w:r>
          </w:p>
          <w:p w14:paraId="23B4A50C">
            <w:pPr>
              <w:snapToGrid w:val="0"/>
              <w:spacing w:line="312" w:lineRule="auto"/>
              <w:jc w:val="left"/>
              <w:rPr>
                <w:rFonts w:hint="eastAsia" w:ascii="仿宋" w:hAnsi="仿宋" w:eastAsia="仿宋" w:cs="仿宋"/>
                <w:kern w:val="0"/>
                <w:sz w:val="28"/>
                <w:szCs w:val="28"/>
              </w:rPr>
            </w:pPr>
            <w:r>
              <w:rPr>
                <w:rFonts w:hint="eastAsia" w:ascii="仿宋" w:hAnsi="仿宋" w:eastAsia="仿宋" w:cs="仿宋"/>
                <w:kern w:val="0"/>
                <w:sz w:val="28"/>
                <w:szCs w:val="28"/>
              </w:rPr>
              <w:t>3.高效率低成本全生命周期减污降碳农田绿色治理技术</w:t>
            </w:r>
          </w:p>
          <w:p w14:paraId="642C8BBC">
            <w:pPr>
              <w:snapToGrid w:val="0"/>
              <w:spacing w:line="312" w:lineRule="auto"/>
              <w:jc w:val="left"/>
              <w:rPr>
                <w:rFonts w:hint="eastAsia" w:ascii="仿宋" w:hAnsi="仿宋" w:eastAsia="仿宋" w:cs="仿宋"/>
                <w:b/>
                <w:bCs/>
                <w:kern w:val="0"/>
                <w:sz w:val="32"/>
                <w:szCs w:val="32"/>
              </w:rPr>
            </w:pPr>
            <w:r>
              <w:rPr>
                <w:rFonts w:hint="eastAsia" w:ascii="仿宋" w:hAnsi="仿宋" w:eastAsia="仿宋" w:cs="仿宋"/>
                <w:kern w:val="0"/>
                <w:sz w:val="28"/>
                <w:szCs w:val="28"/>
              </w:rPr>
              <w:t>4.重金属污染土壤的固碳植物修复技术</w:t>
            </w:r>
          </w:p>
        </w:tc>
      </w:tr>
    </w:tbl>
    <w:p w14:paraId="4E6FA1A5">
      <w:pPr>
        <w:widowControl/>
        <w:jc w:val="left"/>
        <w:rPr>
          <w:rFonts w:hint="eastAsia" w:ascii="仿宋" w:hAnsi="仿宋" w:eastAsia="仿宋" w:cs="仿宋_GB2312"/>
          <w:b/>
          <w:bCs/>
          <w:sz w:val="32"/>
          <w:szCs w:val="32"/>
        </w:rPr>
      </w:pPr>
    </w:p>
    <w:p w14:paraId="2B991893">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2B508CE1">
      <w:pPr>
        <w:snapToGrid w:val="0"/>
        <w:spacing w:line="58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3</w:t>
      </w:r>
      <w:r>
        <w:rPr>
          <w:rFonts w:hint="eastAsia" w:ascii="仿宋" w:hAnsi="仿宋" w:eastAsia="仿宋" w:cs="仿宋_GB2312"/>
          <w:b/>
          <w:bCs/>
          <w:sz w:val="32"/>
          <w:szCs w:val="32"/>
        </w:rPr>
        <w:t>（赛道一：双碳+环境与绿色科技）</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11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220" w:type="dxa"/>
          </w:tcPr>
          <w:p w14:paraId="4C396689">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主题：工业领域减污降碳协同增效</w:t>
            </w:r>
          </w:p>
        </w:tc>
      </w:tr>
      <w:tr w14:paraId="140A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3C62F85B">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BDE8C6E">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十四五”时期，我国已进入了实现生态环境质量改善由量变到质变的关键阶段，是中国全面打赢污染防治攻坚战、实现生态环境质量持续改善的关键五年，也是助力我国实现2030年前碳达峰和2060年前碳中和的关键期。推进减污降碳协同增效，已成为取得环境治理效益与气候减缓效益双赢，继而推动全社会绿色可持续转型和低碳美丽中国建设的重要抓手。工业领域的各类污染物排放占比均为最高，污染物主要源于涉及能源燃烧的加热、冶炼、锻造等工艺过程，以及涉及煤炭、天然气等燃料燃烧的火力发电过程。能源生产消费过程同样也是二氧化碳等温室气体排放的主要来源。工业领域的污染物排放同温室气体排放在时间和空间维度都存在着较高的同根同源性。如何在不同工业行业中实现污染物同温室气体协同治理、协同管控，实现减污和降碳的双赢，是关系到实现我国的环境治理与双碳目标的关键问题。</w:t>
            </w:r>
          </w:p>
          <w:p w14:paraId="63BE3BD7">
            <w:pPr>
              <w:snapToGrid w:val="0"/>
              <w:spacing w:line="312" w:lineRule="auto"/>
              <w:ind w:firstLine="560" w:firstLineChars="200"/>
              <w:rPr>
                <w:rFonts w:hint="eastAsia" w:ascii="仿宋" w:hAnsi="仿宋" w:eastAsia="仿宋" w:cs="仿宋"/>
                <w:b/>
                <w:bCs/>
                <w:kern w:val="0"/>
                <w:sz w:val="32"/>
                <w:szCs w:val="32"/>
              </w:rPr>
            </w:pPr>
            <w:r>
              <w:rPr>
                <w:rFonts w:hint="eastAsia" w:ascii="仿宋" w:hAnsi="仿宋" w:eastAsia="仿宋" w:cs="仿宋"/>
                <w:kern w:val="0"/>
                <w:sz w:val="28"/>
                <w:szCs w:val="28"/>
              </w:rPr>
              <w:t>拟通过本主题，选择工业领域重点1-2个行业开展，结合该工业领域典型污染物及其环境归趋特征，结合智慧科技，强化环境污染治理与碳减排的措施协同，推动工业领域全流程绿色发展，助力绿色制造、清洁生产改造。</w:t>
            </w:r>
          </w:p>
        </w:tc>
      </w:tr>
      <w:tr w14:paraId="4635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8220" w:type="dxa"/>
          </w:tcPr>
          <w:p w14:paraId="72BC6D2D">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41B557C6">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1.工业领域重点行业碳及污染物排放测算</w:t>
            </w:r>
          </w:p>
          <w:p w14:paraId="64F52DA8">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2.工业领域重点行业减污降碳协同增效方案设计</w:t>
            </w:r>
          </w:p>
          <w:p w14:paraId="2CE560FF">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3.工业领域重点行业减污降碳协同增效环境、气候及健康效益预测</w:t>
            </w:r>
          </w:p>
          <w:p w14:paraId="76C6DDBE">
            <w:pPr>
              <w:snapToGrid w:val="0"/>
              <w:spacing w:line="312" w:lineRule="auto"/>
              <w:rPr>
                <w:rFonts w:hint="eastAsia" w:ascii="仿宋" w:hAnsi="仿宋" w:eastAsia="仿宋" w:cs="仿宋"/>
                <w:b/>
                <w:bCs/>
                <w:kern w:val="0"/>
                <w:sz w:val="32"/>
                <w:szCs w:val="32"/>
              </w:rPr>
            </w:pPr>
            <w:r>
              <w:rPr>
                <w:rFonts w:hint="eastAsia" w:ascii="仿宋" w:hAnsi="仿宋" w:eastAsia="仿宋" w:cs="仿宋"/>
                <w:kern w:val="0"/>
                <w:sz w:val="28"/>
                <w:szCs w:val="28"/>
              </w:rPr>
              <w:t>4.工业领域重点行业源头减污降碳的关键创新技术</w:t>
            </w:r>
          </w:p>
        </w:tc>
      </w:tr>
    </w:tbl>
    <w:p w14:paraId="13D40600">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47F6EB4B">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4</w:t>
      </w:r>
      <w:r>
        <w:rPr>
          <w:rFonts w:hint="eastAsia" w:ascii="仿宋" w:hAnsi="仿宋" w:eastAsia="仿宋" w:cs="仿宋_GB2312"/>
          <w:b/>
          <w:bCs/>
          <w:sz w:val="32"/>
          <w:szCs w:val="32"/>
        </w:rPr>
        <w:t>（赛道二：双碳+新材料与新能源）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53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66AD660C">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主题：金属资源的回收及循环利用</w:t>
            </w:r>
          </w:p>
        </w:tc>
      </w:tr>
      <w:tr w14:paraId="20CD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5DC1FD8B">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7628AEA3">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金、铜等金属在电子工业、化工等领域有不可替代的作用。清洁能源技术依赖锂、镍、锰、铜以及稀土金属。通过传统的矿石开采和冶炼获取这些金属资源具有能耗高，污染大等缺点。另外，金属是不可再生资源，人类对其持续增长的需求亟待开发可持续的资源获取技术。</w:t>
            </w:r>
          </w:p>
          <w:p w14:paraId="11C087B2">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随着电子产品消费规模的不断扩大和更新换代速度的加快，电子垃圾已成为全球可持续发展的重大挑战之一。以锂、钴、镍、稀土、碲、铟、镓等为代表的清洁能源关键矿产是指对国家清洁能源产业和低碳经济发展的核心技术与环节至关重要、对绿色战略新兴产业发展不可或缺，同时又存在供应风险的矿产资源。因此，回收金、铜、清洁能源关键金属等资源，可以将污染难题转化为经济效益，推动国家绿色清洁能源发展，不仅对国民健康和环境安全意义重大，而且是实现“双碳”目标和构建循环经济体系的有效途径。</w:t>
            </w:r>
          </w:p>
          <w:p w14:paraId="22228178">
            <w:pPr>
              <w:snapToGrid w:val="0"/>
              <w:spacing w:line="312" w:lineRule="auto"/>
              <w:ind w:firstLine="560" w:firstLineChars="200"/>
              <w:rPr>
                <w:rFonts w:hint="eastAsia" w:ascii="仿宋" w:hAnsi="仿宋" w:eastAsia="仿宋" w:cs="仿宋"/>
                <w:b/>
                <w:bCs/>
                <w:kern w:val="0"/>
                <w:sz w:val="32"/>
                <w:szCs w:val="32"/>
              </w:rPr>
            </w:pPr>
            <w:r>
              <w:rPr>
                <w:rFonts w:hint="eastAsia" w:ascii="仿宋" w:hAnsi="仿宋" w:eastAsia="仿宋" w:cs="仿宋"/>
                <w:kern w:val="0"/>
                <w:sz w:val="28"/>
                <w:szCs w:val="28"/>
              </w:rPr>
              <w:t>本命题以“以实现金属资源的回收及循环利用”为目标，通过本主题内容的创新创意，探索资源回收再利用及低碳可持续发展的新思路和新技术方法。</w:t>
            </w:r>
          </w:p>
        </w:tc>
      </w:tr>
      <w:tr w14:paraId="67C0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20" w:type="dxa"/>
          </w:tcPr>
          <w:p w14:paraId="0DC7838F">
            <w:pPr>
              <w:snapToGrid w:val="0"/>
              <w:spacing w:line="360" w:lineRule="auto"/>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3A0ECFBA">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1.电子垃圾回收</w:t>
            </w:r>
          </w:p>
          <w:p w14:paraId="6543F70C">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2.无氰化贵金属溶解技术</w:t>
            </w:r>
          </w:p>
          <w:p w14:paraId="7B697773">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3.贵金属吸附及提取技术</w:t>
            </w:r>
          </w:p>
          <w:p w14:paraId="18186CCB">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4.风能、太阳能等清洁能源生产中的关键稀有金属、对环境有害金属等再提取与利用</w:t>
            </w:r>
          </w:p>
          <w:p w14:paraId="7C125E84">
            <w:pPr>
              <w:snapToGrid w:val="0"/>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5.回收成本估算</w:t>
            </w:r>
          </w:p>
        </w:tc>
      </w:tr>
    </w:tbl>
    <w:p w14:paraId="6E3874F7">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14:paraId="06EC1461">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5</w:t>
      </w:r>
      <w:r>
        <w:rPr>
          <w:rFonts w:hint="eastAsia" w:ascii="仿宋" w:hAnsi="仿宋" w:eastAsia="仿宋" w:cs="仿宋_GB2312"/>
          <w:b/>
          <w:bCs/>
          <w:sz w:val="32"/>
          <w:szCs w:val="32"/>
        </w:rPr>
        <w:t>（赛道二：双碳+新材料与新能源）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748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29D68F67">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主题：油气资源开发耦合碳捕集封存创新技术</w:t>
            </w:r>
          </w:p>
        </w:tc>
      </w:tr>
      <w:tr w14:paraId="0124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220" w:type="dxa"/>
          </w:tcPr>
          <w:p w14:paraId="15B8CA21">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D2F1EEA">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海洋被誉为“蓝色国土”，蕴藏着丰富的油气资源，海上油气生产已经成为重要的能源增长极。但受到海洋开发开采设施特殊性的制约，生产开发的全过程存在能源消费过度与碳排放量大的现象。二氧化碳捕集、利用与封存（CCUS）被认为是未来大规模减少温室气体排放、减缓全球变暖最经济、可行的方法。旨在将生产过程中排放的二氧化碳进行捕集，并投入新的生产过程中实现循环再利用与稳定封存。该技术目的之一是利用二氧化碳与地层石油混相融合降低原油的黏度和界面张力进行油气开采增产。同时，海底环境中二氧化碳多相态（超临界态、水合物态等）比海水溶解态具有更好的稳定性。由此既可以提升油气采收率和产量，将二氧化碳变“废”为“宝”，又可以将二氧化碳封存，实现“一举两得”，对我国海洋油气开发低碳转型和海洋环境保护具有重要意义。为贯彻落实习总书记“四个革命、一个合作”能源安全新战略、建设海洋强国战略以及“双碳”目标，聚焦油气资源开发前沿领域和低碳技术关键瓶颈，加强技术攻关。</w:t>
            </w:r>
          </w:p>
          <w:p w14:paraId="43C1E96C">
            <w:pPr>
              <w:snapToGrid w:val="0"/>
              <w:spacing w:line="312" w:lineRule="auto"/>
              <w:ind w:firstLine="560" w:firstLineChars="200"/>
              <w:rPr>
                <w:rFonts w:hint="eastAsia" w:ascii="仿宋" w:hAnsi="仿宋" w:eastAsia="仿宋" w:cs="仿宋"/>
                <w:b/>
                <w:bCs/>
                <w:kern w:val="0"/>
                <w:sz w:val="32"/>
                <w:szCs w:val="32"/>
              </w:rPr>
            </w:pPr>
            <w:r>
              <w:rPr>
                <w:rFonts w:hint="eastAsia" w:ascii="仿宋" w:hAnsi="仿宋" w:eastAsia="仿宋" w:cs="仿宋"/>
                <w:kern w:val="0"/>
                <w:sz w:val="28"/>
                <w:szCs w:val="28"/>
              </w:rPr>
              <w:t>请针对（但不限于）以下关注方面提出富有创造力、竞争力与说服力的创新设计解决方案或技术。</w:t>
            </w:r>
          </w:p>
        </w:tc>
      </w:tr>
      <w:tr w14:paraId="7B0F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220" w:type="dxa"/>
          </w:tcPr>
          <w:p w14:paraId="79534842">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方向（均需考虑碳排核算和能源利用）</w:t>
            </w:r>
            <w:r>
              <w:rPr>
                <w:rFonts w:hint="eastAsia" w:ascii="仿宋" w:hAnsi="仿宋" w:eastAsia="仿宋" w:cs="仿宋"/>
                <w:b/>
                <w:bCs/>
                <w:kern w:val="0"/>
                <w:sz w:val="28"/>
                <w:szCs w:val="28"/>
                <w:lang w:val="zh-TW"/>
              </w:rPr>
              <w:t>：</w:t>
            </w:r>
          </w:p>
          <w:p w14:paraId="0B08043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1.海洋油气资源高效开发与利用技术或装备</w:t>
            </w:r>
          </w:p>
          <w:p w14:paraId="4D976BB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2.海洋碳捕集、碳封存、海洋增汇新技术或装备</w:t>
            </w:r>
          </w:p>
          <w:p w14:paraId="450BC689">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3.海底二氧化碳长期稳定封存验证技术或装备</w:t>
            </w:r>
          </w:p>
          <w:p w14:paraId="6FCC500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4.基于二氧化碳捕集与封存的海洋环境监测与评估技术</w:t>
            </w:r>
          </w:p>
          <w:p w14:paraId="0C282492">
            <w:pPr>
              <w:rPr>
                <w:rFonts w:hint="eastAsia" w:ascii="仿宋" w:hAnsi="仿宋" w:eastAsia="仿宋" w:cs="仿宋"/>
                <w:b/>
                <w:bCs/>
                <w:kern w:val="0"/>
                <w:sz w:val="32"/>
                <w:szCs w:val="32"/>
              </w:rPr>
            </w:pPr>
            <w:r>
              <w:rPr>
                <w:rFonts w:hint="eastAsia" w:ascii="仿宋" w:hAnsi="仿宋" w:eastAsia="仿宋" w:cs="仿宋"/>
                <w:kern w:val="0"/>
                <w:sz w:val="28"/>
                <w:szCs w:val="28"/>
              </w:rPr>
              <w:t>5.碳捕集与碳封存技术生命周期评估（能耗及</w:t>
            </w:r>
            <w:r>
              <w:rPr>
                <w:rFonts w:hint="eastAsia" w:ascii="仿宋" w:hAnsi="仿宋" w:eastAsia="仿宋" w:cs="仿宋"/>
                <w:kern w:val="0"/>
                <w:sz w:val="28"/>
                <w:szCs w:val="28"/>
                <w:lang w:val="en-AU"/>
              </w:rPr>
              <w:t>泄露</w:t>
            </w:r>
            <w:r>
              <w:rPr>
                <w:rFonts w:hint="eastAsia" w:ascii="仿宋" w:hAnsi="仿宋" w:eastAsia="仿宋" w:cs="仿宋"/>
                <w:kern w:val="0"/>
                <w:sz w:val="28"/>
                <w:szCs w:val="28"/>
              </w:rPr>
              <w:t>风险等）</w:t>
            </w:r>
          </w:p>
        </w:tc>
      </w:tr>
    </w:tbl>
    <w:p w14:paraId="24BA8ADE">
      <w:pPr>
        <w:rPr>
          <w:rFonts w:hint="eastAsia" w:ascii="仿宋" w:hAnsi="仿宋" w:eastAsia="仿宋" w:cs="仿宋_GB2312"/>
          <w:sz w:val="32"/>
          <w:szCs w:val="32"/>
        </w:rPr>
      </w:pPr>
    </w:p>
    <w:p w14:paraId="236E1D6C">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6</w:t>
      </w:r>
      <w:r>
        <w:rPr>
          <w:rFonts w:hint="eastAsia" w:ascii="仿宋" w:hAnsi="仿宋" w:eastAsia="仿宋" w:cs="仿宋_GB2312"/>
          <w:b/>
          <w:bCs/>
          <w:sz w:val="32"/>
          <w:szCs w:val="32"/>
        </w:rPr>
        <w:t>（赛道二：双碳+新材料与新能源）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28A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526B899B">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lang w:val="zh-TW"/>
              </w:rPr>
              <w:t>主题：绿色氢能的高效低成本获取与利用技术</w:t>
            </w:r>
          </w:p>
        </w:tc>
      </w:tr>
      <w:tr w14:paraId="5471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220" w:type="dxa"/>
          </w:tcPr>
          <w:p w14:paraId="253A8726">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515F870F">
            <w:pPr>
              <w:snapToGrid w:val="0"/>
              <w:spacing w:line="312"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氢能作为一种零碳能源体系是构建现代清洁能源体系的重要组成部分，在践行“双碳”目标这一历史使命中承担着重要作用。目前，我国氢能产业发展势头强劲，但仍面临成本高、储运难和效率低等问题。为实现“双碳”目标，我国氢气年需求量将大幅增加。然而，目前全球制氢结构仍以天然气制备的灰氢和蓝氢为主，以可再生能源制取的绿色氢能占比还很小。长期来看，利用太阳能和风能等可再生能源电解水制取绿氢、同时实现可再生能源的存储是终极目标。近年来我国在风/光制氢领域发展迅速，大批示范项目已陆续开展，但太阳能和风能需要电池存储计算，依然面临着效率低或成本高等巨大挑战，急需发展核心的关键技术和新材料。</w:t>
            </w:r>
          </w:p>
          <w:p w14:paraId="58CD3B84">
            <w:pPr>
              <w:snapToGrid w:val="0"/>
              <w:spacing w:line="312" w:lineRule="auto"/>
              <w:ind w:firstLine="480" w:firstLineChars="200"/>
              <w:rPr>
                <w:rFonts w:hint="eastAsia" w:ascii="仿宋" w:hAnsi="仿宋" w:eastAsia="仿宋" w:cs="仿宋"/>
                <w:kern w:val="0"/>
                <w:sz w:val="32"/>
                <w:szCs w:val="32"/>
              </w:rPr>
            </w:pPr>
            <w:r>
              <w:rPr>
                <w:rFonts w:hint="eastAsia" w:ascii="仿宋" w:hAnsi="仿宋" w:eastAsia="仿宋" w:cs="仿宋"/>
                <w:kern w:val="0"/>
                <w:sz w:val="24"/>
                <w:szCs w:val="24"/>
              </w:rPr>
              <w:t>在氢能的利用端，氢能兼具燃料、储能、化工原料等多种属性，在电力、交通、建筑、化工等多个行业具有广阔的应用空间。但是，由于氢能的储运技术不成熟，目前氢能的应用以就近消纳为主，多局限于传统化工生产领域。发展氢电双向转换及储能一体化技术对氢能多应用场景的推广具有重要意义。而作为氢能在交通领域应用的核心环节，氢燃料电池的成本和寿命一直是规模化应用的最大掣肘。由于目前商业化的质子交换膜燃料电池基本上是使用基于铂金的催化剂，贵重金属的使用加上质子交换膜、双极板等高成本的关键材料，使得在目前规模化效应相对比较低的情况下整个燃料电池的成本非常高。如何降低燃料电池的成本、同时实现长的使用寿命和宽的环境适应性，是推动燃料电池产业化的重要因素。</w:t>
            </w:r>
          </w:p>
        </w:tc>
      </w:tr>
      <w:tr w14:paraId="71E5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8220" w:type="dxa"/>
          </w:tcPr>
          <w:p w14:paraId="112AE716">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r>
              <w:rPr>
                <w:rFonts w:hint="eastAsia" w:ascii="仿宋" w:hAnsi="仿宋" w:eastAsia="仿宋" w:cs="仿宋"/>
                <w:b/>
                <w:bCs/>
                <w:kern w:val="0"/>
                <w:sz w:val="28"/>
                <w:szCs w:val="28"/>
              </w:rPr>
              <w:t>（均需考虑碳排核算和能源利用）</w:t>
            </w:r>
            <w:r>
              <w:rPr>
                <w:rFonts w:hint="eastAsia" w:ascii="仿宋" w:hAnsi="仿宋" w:eastAsia="仿宋" w:cs="仿宋"/>
                <w:b/>
                <w:bCs/>
                <w:kern w:val="0"/>
                <w:sz w:val="28"/>
                <w:szCs w:val="28"/>
                <w:lang w:val="zh-TW"/>
              </w:rPr>
              <w:t>：</w:t>
            </w:r>
          </w:p>
          <w:p w14:paraId="35EFDFE7">
            <w:pPr>
              <w:snapToGrid w:val="0"/>
              <w:spacing w:line="312" w:lineRule="auto"/>
              <w:rPr>
                <w:rFonts w:hint="eastAsia" w:ascii="仿宋" w:hAnsi="仿宋" w:eastAsia="仿宋" w:cs="仿宋"/>
                <w:kern w:val="0"/>
                <w:sz w:val="24"/>
                <w:szCs w:val="24"/>
              </w:rPr>
            </w:pPr>
            <w:r>
              <w:rPr>
                <w:rFonts w:hint="eastAsia" w:ascii="仿宋" w:hAnsi="仿宋" w:eastAsia="仿宋" w:cs="仿宋"/>
                <w:kern w:val="0"/>
                <w:sz w:val="24"/>
                <w:szCs w:val="24"/>
              </w:rPr>
              <w:t>1.利用可再生能源获取绿色氢能的新技术和新材料</w:t>
            </w:r>
          </w:p>
          <w:p w14:paraId="4E6D8180">
            <w:pPr>
              <w:snapToGrid w:val="0"/>
              <w:spacing w:line="312" w:lineRule="auto"/>
              <w:rPr>
                <w:rFonts w:hint="eastAsia" w:ascii="仿宋" w:hAnsi="仿宋" w:eastAsia="仿宋" w:cs="仿宋"/>
                <w:kern w:val="0"/>
                <w:sz w:val="24"/>
                <w:szCs w:val="24"/>
              </w:rPr>
            </w:pPr>
            <w:r>
              <w:rPr>
                <w:rFonts w:hint="eastAsia" w:ascii="仿宋" w:hAnsi="仿宋" w:eastAsia="仿宋" w:cs="仿宋"/>
                <w:kern w:val="0"/>
                <w:sz w:val="24"/>
                <w:szCs w:val="24"/>
              </w:rPr>
              <w:t>2.低成本、长寿命的氢燃料电池关键材料</w:t>
            </w:r>
          </w:p>
          <w:p w14:paraId="5A0DEA82">
            <w:pPr>
              <w:snapToGrid w:val="0"/>
              <w:spacing w:line="312" w:lineRule="auto"/>
              <w:rPr>
                <w:rFonts w:hint="eastAsia" w:ascii="仿宋" w:hAnsi="仿宋" w:eastAsia="仿宋" w:cs="仿宋"/>
                <w:kern w:val="0"/>
                <w:sz w:val="24"/>
                <w:szCs w:val="24"/>
              </w:rPr>
            </w:pPr>
            <w:r>
              <w:rPr>
                <w:rFonts w:hint="eastAsia" w:ascii="仿宋" w:hAnsi="仿宋" w:eastAsia="仿宋" w:cs="仿宋"/>
                <w:kern w:val="0"/>
                <w:sz w:val="24"/>
                <w:szCs w:val="24"/>
              </w:rPr>
              <w:t>3.高效氢能储运技术、氢电双向转换与一体化技术</w:t>
            </w:r>
          </w:p>
          <w:p w14:paraId="62EA635A">
            <w:pPr>
              <w:snapToGrid w:val="0"/>
              <w:spacing w:line="312" w:lineRule="auto"/>
              <w:rPr>
                <w:rFonts w:hint="eastAsia" w:ascii="仿宋" w:hAnsi="仿宋" w:eastAsia="仿宋" w:cs="仿宋"/>
                <w:kern w:val="0"/>
                <w:sz w:val="24"/>
                <w:szCs w:val="24"/>
              </w:rPr>
            </w:pPr>
            <w:r>
              <w:rPr>
                <w:rFonts w:hint="eastAsia" w:ascii="仿宋" w:hAnsi="仿宋" w:eastAsia="仿宋" w:cs="仿宋"/>
                <w:kern w:val="0"/>
                <w:sz w:val="24"/>
                <w:szCs w:val="24"/>
              </w:rPr>
              <w:t>4.绿色氢能获取与利用技术的实际应用和过程安全性</w:t>
            </w:r>
          </w:p>
          <w:p w14:paraId="54F263A3">
            <w:pPr>
              <w:snapToGrid w:val="0"/>
              <w:spacing w:line="312" w:lineRule="auto"/>
              <w:rPr>
                <w:rFonts w:hint="eastAsia" w:ascii="仿宋" w:hAnsi="仿宋" w:eastAsia="仿宋" w:cs="仿宋"/>
                <w:kern w:val="0"/>
                <w:sz w:val="32"/>
                <w:szCs w:val="32"/>
              </w:rPr>
            </w:pPr>
            <w:r>
              <w:rPr>
                <w:rFonts w:hint="eastAsia" w:ascii="仿宋" w:hAnsi="仿宋" w:eastAsia="仿宋" w:cs="仿宋"/>
                <w:kern w:val="0"/>
                <w:sz w:val="24"/>
                <w:szCs w:val="24"/>
              </w:rPr>
              <w:t>5.绿色氢能获取与利用过程经济性，分析成本效益等</w:t>
            </w:r>
          </w:p>
        </w:tc>
      </w:tr>
    </w:tbl>
    <w:p w14:paraId="04AC9831">
      <w:pPr>
        <w:rPr>
          <w:rFonts w:hint="eastAsia" w:ascii="仿宋" w:hAnsi="仿宋" w:eastAsia="仿宋"/>
          <w:sz w:val="32"/>
          <w:szCs w:val="32"/>
        </w:rPr>
      </w:pPr>
      <w:r>
        <w:rPr>
          <w:rFonts w:ascii="仿宋" w:hAnsi="仿宋" w:eastAsia="仿宋"/>
          <w:sz w:val="32"/>
          <w:szCs w:val="32"/>
        </w:rPr>
        <w:br w:type="page"/>
      </w:r>
    </w:p>
    <w:p w14:paraId="6C573317">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7</w:t>
      </w:r>
      <w:r>
        <w:rPr>
          <w:rFonts w:hint="eastAsia" w:ascii="仿宋" w:hAnsi="仿宋" w:eastAsia="仿宋" w:cs="仿宋_GB2312"/>
          <w:b/>
          <w:bCs/>
          <w:sz w:val="32"/>
          <w:szCs w:val="32"/>
        </w:rPr>
        <w:t>（赛道二：双碳+新材料与新能源）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C93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220" w:type="dxa"/>
          </w:tcPr>
          <w:p w14:paraId="684FE866">
            <w:pPr>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主题：CO</w:t>
            </w:r>
            <w:r>
              <w:rPr>
                <w:rFonts w:hint="eastAsia" w:ascii="仿宋" w:hAnsi="仿宋" w:eastAsia="仿宋" w:cs="仿宋"/>
                <w:b/>
                <w:bCs/>
                <w:kern w:val="0"/>
                <w:sz w:val="28"/>
                <w:szCs w:val="28"/>
                <w:vertAlign w:val="subscript"/>
              </w:rPr>
              <w:t>2</w:t>
            </w:r>
            <w:r>
              <w:rPr>
                <w:rFonts w:hint="eastAsia" w:ascii="仿宋" w:hAnsi="仿宋" w:eastAsia="仿宋" w:cs="仿宋"/>
                <w:b/>
                <w:bCs/>
                <w:kern w:val="0"/>
                <w:sz w:val="28"/>
                <w:szCs w:val="28"/>
              </w:rPr>
              <w:t>价值循环利用之催化转化技术</w:t>
            </w:r>
          </w:p>
        </w:tc>
      </w:tr>
      <w:tr w14:paraId="62A4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220" w:type="dxa"/>
          </w:tcPr>
          <w:p w14:paraId="1F9817EF">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28DAE8BE">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的高效转化利用对缓解能源危机以及实现“碳中和”目标具有重要的战略意义。CO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加氢制烃类等高附加值产品将CO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与可再生能源有机结合，不仅有望解决环境问题，还可以缓解化石能源枯竭所带来的能源危机，具有非常广阔的研究前景。传统的金属氧化物催化剂通常需要较高的反应温度（&gt;300oC）来催化CO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加氢制甲醇，往往伴随着严重的逆水煤气变换（RWGS）反应，导致产生大量副产物一氧化碳（CO)。在金属氧化物催化剂中引入过渡金属组分可以促进H</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的活化从而降低反应温度，但同时又容易导致CO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过度加氢到甲烷（CH</w:t>
            </w:r>
            <w:r>
              <w:rPr>
                <w:rFonts w:hint="eastAsia" w:ascii="仿宋" w:hAnsi="仿宋" w:eastAsia="仿宋" w:cs="仿宋"/>
                <w:kern w:val="0"/>
                <w:sz w:val="28"/>
                <w:szCs w:val="28"/>
                <w:vertAlign w:val="subscript"/>
              </w:rPr>
              <w:t>4</w:t>
            </w:r>
            <w:r>
              <w:rPr>
                <w:rFonts w:hint="eastAsia" w:ascii="仿宋" w:hAnsi="仿宋" w:eastAsia="仿宋" w:cs="仿宋"/>
                <w:kern w:val="0"/>
                <w:sz w:val="28"/>
                <w:szCs w:val="28"/>
              </w:rPr>
              <w:t>)。金属/金属氧化物催化CO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加氢制甲醇体系中活性与选择性的相互制约，严重限制了其低温催化性能的提升。因此，为实现CO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低温高效加氢制烃类等高附加值产品，亟须寻求新的低成本过渡金属化合物催化剂体系，控制催化加氢温度低于200 oC，进而提高CO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的单程转化率10%以上，并对全产业过程的能耗和经济成本进行必要的分析。</w:t>
            </w:r>
          </w:p>
          <w:p w14:paraId="711F8E59">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本赛道关注CO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催化转化的高效催化剂体系，从材料选择、结构设计的角度提出有市场应用前景的催化剂，为实现低能耗、高效率的CO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转化利用开辟了新途径，达到实现减碳降碳的社会效益。</w:t>
            </w:r>
          </w:p>
        </w:tc>
      </w:tr>
      <w:tr w14:paraId="06FE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14:paraId="68EE39BA">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方向（均需考虑碳排核算和能源利用）</w:t>
            </w:r>
            <w:r>
              <w:rPr>
                <w:rFonts w:hint="eastAsia" w:ascii="仿宋" w:hAnsi="仿宋" w:eastAsia="仿宋" w:cs="仿宋"/>
                <w:b/>
                <w:bCs/>
                <w:kern w:val="0"/>
                <w:sz w:val="28"/>
                <w:szCs w:val="28"/>
                <w:lang w:val="zh-TW"/>
              </w:rPr>
              <w:t>：</w:t>
            </w:r>
          </w:p>
          <w:p w14:paraId="162977E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转化新途径与催化新技术</w:t>
            </w:r>
          </w:p>
          <w:p w14:paraId="4FEA936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2.低成本CO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转化催化剂</w:t>
            </w:r>
          </w:p>
          <w:p w14:paraId="75254A6D">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3.高效稳定的CO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电催化转化技术</w:t>
            </w:r>
          </w:p>
          <w:p w14:paraId="32A53567">
            <w:pPr>
              <w:snapToGrid w:val="0"/>
              <w:spacing w:line="312" w:lineRule="auto"/>
              <w:rPr>
                <w:rFonts w:hint="eastAsia" w:ascii="仿宋" w:hAnsi="仿宋" w:eastAsia="仿宋" w:cs="仿宋"/>
                <w:b/>
                <w:bCs/>
                <w:kern w:val="0"/>
                <w:sz w:val="32"/>
                <w:szCs w:val="32"/>
              </w:rPr>
            </w:pPr>
            <w:r>
              <w:rPr>
                <w:rFonts w:hint="eastAsia" w:ascii="仿宋" w:hAnsi="仿宋" w:eastAsia="仿宋" w:cs="仿宋"/>
                <w:kern w:val="0"/>
                <w:sz w:val="28"/>
                <w:szCs w:val="28"/>
              </w:rPr>
              <w:t>4.模拟光合作用还原CO</w:t>
            </w:r>
            <w:r>
              <w:rPr>
                <w:rFonts w:hint="eastAsia" w:ascii="仿宋" w:hAnsi="仿宋" w:eastAsia="仿宋" w:cs="仿宋"/>
                <w:kern w:val="0"/>
                <w:sz w:val="28"/>
                <w:szCs w:val="28"/>
                <w:vertAlign w:val="subscript"/>
              </w:rPr>
              <w:t>2</w:t>
            </w:r>
          </w:p>
        </w:tc>
      </w:tr>
    </w:tbl>
    <w:p w14:paraId="6DE85933">
      <w:pPr>
        <w:rPr>
          <w:rFonts w:hint="eastAsia" w:ascii="仿宋" w:hAnsi="仿宋" w:eastAsia="仿宋" w:cs="仿宋_GB2312"/>
          <w:b/>
          <w:bCs/>
          <w:sz w:val="32"/>
          <w:szCs w:val="32"/>
        </w:rPr>
      </w:pPr>
    </w:p>
    <w:p w14:paraId="05B2DE03">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39FBBC88">
      <w:pPr>
        <w:widowControl/>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8</w:t>
      </w:r>
      <w:r>
        <w:rPr>
          <w:rFonts w:hint="eastAsia" w:ascii="仿宋" w:hAnsi="仿宋" w:eastAsia="仿宋" w:cs="仿宋_GB2312"/>
          <w:b/>
          <w:bCs/>
          <w:sz w:val="32"/>
          <w:szCs w:val="32"/>
        </w:rPr>
        <w:t>（赛道二：双碳+新材料与新能源）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8E1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vAlign w:val="center"/>
          </w:tcPr>
          <w:p w14:paraId="097C8407">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主题：基于减碳节能的光充储集成式电池设计</w:t>
            </w:r>
          </w:p>
        </w:tc>
      </w:tr>
      <w:tr w14:paraId="5B9C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220" w:type="dxa"/>
            <w:vAlign w:val="center"/>
          </w:tcPr>
          <w:p w14:paraId="55A1770A">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2E609F1D">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随着碳达峰与碳中和目标的提出，开发清洁能源低成本生产技术以及大规模低成本储能技术成为关键。从现有的清洁能源资源来看，太阳能是一种丰富.清洁.经济的能源。然而，其间歇性和不平衡性的特点要求必须与储能装置连接，以平衡能源供需，因此太阳能电池通常连接到可充电电池或电容器上。但这种复合型装置通常需要额外的电子设备，以使太阳能电池的电压输出与储能装置的输入电压要求相匹配，这增加了系统成本和能量损失。因此，开发具有光充电、储能集成式的二次供能装置，就显得优势明显，如光充电二次电池、光充电液流电池、光充电电容器等，这种电池将太阳能电池和储能装置集成在一起，去除了变压的需要，让光电压直接为储能装置充电，降低了组件串联的能量损失，提高了能量转化效率，从而起到减少碳排放、节约传统能源的社会效益。重点关注具有光响应性能的半导体材料、钙钛矿材料、染料分子等光敏材料作为光充电极，与具有离子嵌入/脱出功能的储能二次电池用正极的能级匹配与调谐作用，以及内部单元的集成技术。</w:t>
            </w:r>
          </w:p>
          <w:p w14:paraId="4BC4E544">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通过本专题集思广益，加深对光储充集成式二次电池的理解，进一步降低成本，提高能源转化与存储效率，促进相关产业的技术更新和研发推广，为社会环境和能源可持续发展做出重要贡献。</w:t>
            </w:r>
          </w:p>
        </w:tc>
      </w:tr>
      <w:tr w14:paraId="35DF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220" w:type="dxa"/>
            <w:vAlign w:val="center"/>
          </w:tcPr>
          <w:p w14:paraId="121E26C2">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方向（均需考虑碳排核算和能源利用）</w:t>
            </w:r>
            <w:r>
              <w:rPr>
                <w:rFonts w:hint="eastAsia" w:ascii="仿宋" w:hAnsi="仿宋" w:eastAsia="仿宋" w:cs="仿宋"/>
                <w:b/>
                <w:bCs/>
                <w:kern w:val="0"/>
                <w:sz w:val="28"/>
                <w:szCs w:val="28"/>
                <w:lang w:val="zh-TW"/>
              </w:rPr>
              <w:t>：</w:t>
            </w:r>
          </w:p>
          <w:p w14:paraId="29C1AAE2">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1.高效太阳能转化材料与技术</w:t>
            </w:r>
          </w:p>
          <w:p w14:paraId="05C561B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2.光充储电池一体式集成技术</w:t>
            </w:r>
          </w:p>
          <w:p w14:paraId="00436E00">
            <w:pPr>
              <w:snapToGrid w:val="0"/>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3.光电转化与电荷存储双功能材料</w:t>
            </w:r>
          </w:p>
        </w:tc>
      </w:tr>
    </w:tbl>
    <w:p w14:paraId="5EA6B3D0">
      <w:pPr>
        <w:rPr>
          <w:rFonts w:hint="eastAsia" w:ascii="仿宋" w:hAnsi="仿宋" w:eastAsia="仿宋" w:cs="仿宋_GB2312"/>
          <w:b/>
          <w:bCs/>
          <w:sz w:val="32"/>
          <w:szCs w:val="32"/>
        </w:rPr>
      </w:pPr>
    </w:p>
    <w:p w14:paraId="3C4D25A7">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76AA5181">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9</w:t>
      </w:r>
      <w:r>
        <w:rPr>
          <w:rFonts w:hint="eastAsia" w:ascii="仿宋" w:hAnsi="仿宋" w:eastAsia="仿宋" w:cs="仿宋_GB2312"/>
          <w:b/>
          <w:bCs/>
          <w:sz w:val="32"/>
          <w:szCs w:val="32"/>
        </w:rPr>
        <w:t>（赛道二：双碳+新材料与新能源）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9B9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7F05B9E5">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主题：火力发电碳捕集能耗分析与碳泄露检测</w:t>
            </w:r>
          </w:p>
        </w:tc>
      </w:tr>
      <w:tr w14:paraId="25CC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8" w:hRule="atLeast"/>
          <w:jc w:val="center"/>
        </w:trPr>
        <w:tc>
          <w:tcPr>
            <w:tcW w:w="8220" w:type="dxa"/>
          </w:tcPr>
          <w:p w14:paraId="7D5A22F4">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05FBDB7D">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火力发电以煤炭、石油和天然气等化石燃料为主要一次能源，是温室气体排放的主要工业源之一，占全国二氧化碳排放量近三分之一，我国燃煤发电比例高达60%左右，由于核能资源限制、可再生能源发电的稳定性等问题，在相当长时间内，火力发电依然是我国电力供应的重要基础，相应的碳捕集是碳达峰碳中和战略实施的重要技术基础。但是火力发电系统的碳捕集存在多种技术路径，各种技术的能耗特点、用能品质以及可再生能源替代应用存在很大的差异，带来的附加碳排放或碳泄露（碳捕获过程能耗的碳排放计算边界内由于碳捕获工艺带来其他工艺过程增加的碳排放）直接影响了火力发电系统的碳达峰与碳中和战略的实施。</w:t>
            </w:r>
          </w:p>
          <w:p w14:paraId="2A1FECCE">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拟通过本主题，合众之力，结合材料创新与节能科技，推动低能耗和低碳泄露的火力发电系统碳捕集设计技术的发展，帮助推动全球火力发电系统低能耗碳捕集问题的解决，探索支持可持续发展的火力发电之路。</w:t>
            </w:r>
          </w:p>
        </w:tc>
      </w:tr>
      <w:tr w14:paraId="551C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2C0A2C09">
            <w:pPr>
              <w:spacing w:before="120" w:beforeLines="50" w:after="120" w:afterLines="50"/>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方向（均需考虑碳排核算和能源利用）</w:t>
            </w:r>
            <w:r>
              <w:rPr>
                <w:rFonts w:hint="eastAsia" w:ascii="仿宋" w:hAnsi="仿宋" w:eastAsia="仿宋" w:cs="仿宋"/>
                <w:b/>
                <w:bCs/>
                <w:kern w:val="0"/>
                <w:sz w:val="28"/>
                <w:szCs w:val="28"/>
                <w:lang w:val="zh-TW" w:eastAsia="zh-TW"/>
              </w:rPr>
              <w:t>：</w:t>
            </w:r>
          </w:p>
          <w:p w14:paraId="1D481AC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1.火力发电有机胺吸收碳捕获技术</w:t>
            </w:r>
          </w:p>
          <w:p w14:paraId="723919E3">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2.碳捕获材料有机胺等的低能耗再生</w:t>
            </w:r>
          </w:p>
          <w:p w14:paraId="13A31D7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3.二氧化碳捕获后远距离运输需要的液化过程节能技术</w:t>
            </w:r>
          </w:p>
          <w:p w14:paraId="73AF2058">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4.二氧化碳捕获工艺中可再生能源的应用</w:t>
            </w:r>
          </w:p>
          <w:p w14:paraId="2078CB4E">
            <w:pPr>
              <w:snapToGrid w:val="0"/>
              <w:spacing w:line="312" w:lineRule="auto"/>
              <w:rPr>
                <w:rFonts w:hint="eastAsia" w:ascii="仿宋" w:hAnsi="仿宋" w:eastAsia="仿宋" w:cs="仿宋"/>
                <w:bCs/>
                <w:kern w:val="0"/>
                <w:sz w:val="32"/>
                <w:szCs w:val="32"/>
              </w:rPr>
            </w:pPr>
            <w:r>
              <w:rPr>
                <w:rFonts w:hint="eastAsia" w:ascii="仿宋" w:hAnsi="仿宋" w:eastAsia="仿宋" w:cs="仿宋"/>
                <w:kern w:val="0"/>
                <w:sz w:val="28"/>
                <w:szCs w:val="28"/>
              </w:rPr>
              <w:t>5.火力发电机组灵活性调控技术与碳捕获工艺的协调技术</w:t>
            </w:r>
          </w:p>
        </w:tc>
      </w:tr>
    </w:tbl>
    <w:p w14:paraId="33595845">
      <w:pPr>
        <w:widowControl/>
        <w:jc w:val="left"/>
        <w:rPr>
          <w:rFonts w:hint="eastAsia" w:ascii="仿宋" w:hAnsi="仿宋" w:eastAsia="仿宋" w:cs="仿宋_GB2312"/>
          <w:b/>
          <w:bCs/>
          <w:sz w:val="32"/>
          <w:szCs w:val="32"/>
        </w:rPr>
      </w:pPr>
    </w:p>
    <w:p w14:paraId="0C36BE1A">
      <w:pPr>
        <w:widowControl/>
        <w:jc w:val="left"/>
        <w:rPr>
          <w:rFonts w:hint="eastAsia" w:ascii="仿宋" w:hAnsi="仿宋" w:eastAsia="仿宋" w:cs="仿宋_GB2312"/>
          <w:b/>
          <w:bCs/>
          <w:sz w:val="32"/>
          <w:szCs w:val="32"/>
        </w:rPr>
      </w:pPr>
      <w:r>
        <w:rPr>
          <w:rFonts w:hint="eastAsia" w:ascii="仿宋" w:hAnsi="仿宋" w:eastAsia="仿宋" w:cs="仿宋_GB2312"/>
          <w:b/>
          <w:bCs/>
          <w:sz w:val="32"/>
          <w:szCs w:val="32"/>
        </w:rPr>
        <w:br w:type="page"/>
      </w:r>
    </w:p>
    <w:p w14:paraId="4BB05DDC">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命题10（赛道二：双碳+新材料与新能源）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052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480DB12A">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主题：激光约束核聚变固体激光增益介质制备技术</w:t>
            </w:r>
          </w:p>
        </w:tc>
      </w:tr>
      <w:tr w14:paraId="5295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067FB44B">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C344609">
            <w:pPr>
              <w:snapToGrid w:val="0"/>
              <w:spacing w:line="312" w:lineRule="auto"/>
              <w:ind w:firstLine="560" w:firstLineChars="200"/>
              <w:rPr>
                <w:rFonts w:hint="eastAsia" w:ascii="仿宋" w:hAnsi="仿宋" w:eastAsia="仿宋" w:cs="仿宋"/>
                <w:kern w:val="0"/>
                <w:sz w:val="24"/>
                <w:szCs w:val="24"/>
              </w:rPr>
            </w:pPr>
            <w:r>
              <w:rPr>
                <w:rFonts w:hint="eastAsia" w:ascii="仿宋" w:hAnsi="仿宋" w:eastAsia="仿宋" w:cs="仿宋"/>
                <w:kern w:val="0"/>
                <w:sz w:val="28"/>
                <w:szCs w:val="28"/>
              </w:rPr>
              <w:tab/>
            </w:r>
            <w:r>
              <w:rPr>
                <w:rFonts w:hint="eastAsia" w:ascii="仿宋" w:hAnsi="仿宋" w:eastAsia="仿宋" w:cs="仿宋"/>
                <w:kern w:val="0"/>
                <w:sz w:val="24"/>
                <w:szCs w:val="24"/>
              </w:rPr>
              <w:t>能源与社会发展紧密相关，随着社会生产力与科学技术不断发展，人类社会对能源需求不断增加，我国作为能源消耗大国，对化石能源强烈依赖于进口。在“双碳”背景下，我们正面临一场由化石能源向其它能源的绿色转型，在这场转型中化石能源将从主体能源转向保障性能源。核能作为一种高效、清洁、优质能源，可极大增加能源供应，缓解能源缺乏危机。核裂变技术经过近几十年发展相对成熟，但核聚变技术目前还不成熟。核聚变能是一种更加清洁、安全的能源、单位质量核燃料可以释放出巨大能量，并且原料获取方便。 目前人类已经掌握不可控核聚变技术，但尚未掌控可控核聚变技术。激光约束核聚变作为有望实现可控核聚变的一种约束方式，要突破激光约束核聚变技术的一个关键核心是研发高能激光器，激光增益介质作为激光器的最核心部件，对激光的产生和性能起到决定性作用，是高能激光器技术进步与发展的基础。倍半氧化物（Y</w:t>
            </w:r>
            <w:r>
              <w:rPr>
                <w:rFonts w:hint="eastAsia" w:ascii="仿宋" w:hAnsi="仿宋" w:eastAsia="仿宋" w:cs="仿宋"/>
                <w:kern w:val="0"/>
                <w:sz w:val="24"/>
                <w:szCs w:val="24"/>
                <w:vertAlign w:val="subscript"/>
              </w:rPr>
              <w:t>2</w:t>
            </w:r>
            <w:r>
              <w:rPr>
                <w:rFonts w:hint="eastAsia" w:ascii="仿宋" w:hAnsi="仿宋" w:eastAsia="仿宋" w:cs="仿宋"/>
                <w:kern w:val="0"/>
                <w:sz w:val="24"/>
                <w:szCs w:val="24"/>
              </w:rPr>
              <w:t>O</w:t>
            </w:r>
            <w:r>
              <w:rPr>
                <w:rFonts w:hint="eastAsia" w:ascii="仿宋" w:hAnsi="仿宋" w:eastAsia="仿宋" w:cs="仿宋"/>
                <w:kern w:val="0"/>
                <w:sz w:val="24"/>
                <w:szCs w:val="24"/>
                <w:vertAlign w:val="subscript"/>
              </w:rPr>
              <w:t>3</w:t>
            </w:r>
            <w:r>
              <w:rPr>
                <w:rFonts w:hint="eastAsia" w:ascii="仿宋" w:hAnsi="仿宋" w:eastAsia="仿宋" w:cs="仿宋"/>
                <w:kern w:val="0"/>
                <w:sz w:val="24"/>
                <w:szCs w:val="24"/>
              </w:rPr>
              <w:t>、Sc</w:t>
            </w:r>
            <w:r>
              <w:rPr>
                <w:rFonts w:hint="eastAsia" w:ascii="仿宋" w:hAnsi="仿宋" w:eastAsia="仿宋" w:cs="仿宋"/>
                <w:kern w:val="0"/>
                <w:sz w:val="24"/>
                <w:szCs w:val="24"/>
                <w:vertAlign w:val="subscript"/>
              </w:rPr>
              <w:t>2</w:t>
            </w:r>
            <w:r>
              <w:rPr>
                <w:rFonts w:hint="eastAsia" w:ascii="仿宋" w:hAnsi="仿宋" w:eastAsia="仿宋" w:cs="仿宋"/>
                <w:kern w:val="0"/>
                <w:sz w:val="24"/>
                <w:szCs w:val="24"/>
              </w:rPr>
              <w:t>O</w:t>
            </w:r>
            <w:r>
              <w:rPr>
                <w:rFonts w:hint="eastAsia" w:ascii="仿宋" w:hAnsi="仿宋" w:eastAsia="仿宋" w:cs="仿宋"/>
                <w:kern w:val="0"/>
                <w:sz w:val="24"/>
                <w:szCs w:val="24"/>
                <w:vertAlign w:val="subscript"/>
              </w:rPr>
              <w:t>3</w:t>
            </w:r>
            <w:r>
              <w:rPr>
                <w:rFonts w:hint="eastAsia" w:ascii="仿宋" w:hAnsi="仿宋" w:eastAsia="仿宋" w:cs="仿宋"/>
                <w:kern w:val="0"/>
                <w:sz w:val="24"/>
                <w:szCs w:val="24"/>
              </w:rPr>
              <w:t>、Lu</w:t>
            </w:r>
            <w:r>
              <w:rPr>
                <w:rFonts w:hint="eastAsia" w:ascii="仿宋" w:hAnsi="仿宋" w:eastAsia="仿宋" w:cs="仿宋"/>
                <w:kern w:val="0"/>
                <w:sz w:val="24"/>
                <w:szCs w:val="24"/>
                <w:vertAlign w:val="subscript"/>
              </w:rPr>
              <w:t>2</w:t>
            </w:r>
            <w:r>
              <w:rPr>
                <w:rFonts w:hint="eastAsia" w:ascii="仿宋" w:hAnsi="仿宋" w:eastAsia="仿宋" w:cs="仿宋"/>
                <w:kern w:val="0"/>
                <w:sz w:val="24"/>
                <w:szCs w:val="24"/>
              </w:rPr>
              <w:t>O</w:t>
            </w:r>
            <w:r>
              <w:rPr>
                <w:rFonts w:hint="eastAsia" w:ascii="仿宋" w:hAnsi="仿宋" w:eastAsia="仿宋" w:cs="仿宋"/>
                <w:kern w:val="0"/>
                <w:sz w:val="24"/>
                <w:szCs w:val="24"/>
                <w:vertAlign w:val="subscript"/>
              </w:rPr>
              <w:t>3</w:t>
            </w:r>
            <w:r>
              <w:rPr>
                <w:rFonts w:hint="eastAsia" w:ascii="仿宋" w:hAnsi="仿宋" w:eastAsia="仿宋" w:cs="仿宋"/>
                <w:kern w:val="0"/>
                <w:sz w:val="24"/>
                <w:szCs w:val="24"/>
              </w:rPr>
              <w:t>）由于具有热导率高、声子能量低等优点，是极具潜力的超短脉冲激光增益介质。Sc</w:t>
            </w:r>
            <w:r>
              <w:rPr>
                <w:rFonts w:hint="eastAsia" w:ascii="仿宋" w:hAnsi="仿宋" w:eastAsia="仿宋" w:cs="仿宋"/>
                <w:kern w:val="0"/>
                <w:sz w:val="24"/>
                <w:szCs w:val="24"/>
                <w:vertAlign w:val="subscript"/>
              </w:rPr>
              <w:t>2</w:t>
            </w:r>
            <w:r>
              <w:rPr>
                <w:rFonts w:hint="eastAsia" w:ascii="仿宋" w:hAnsi="仿宋" w:eastAsia="仿宋" w:cs="仿宋"/>
                <w:kern w:val="0"/>
                <w:sz w:val="24"/>
                <w:szCs w:val="24"/>
              </w:rPr>
              <w:t>O</w:t>
            </w:r>
            <w:r>
              <w:rPr>
                <w:rFonts w:hint="eastAsia" w:ascii="仿宋" w:hAnsi="仿宋" w:eastAsia="仿宋" w:cs="仿宋"/>
                <w:kern w:val="0"/>
                <w:sz w:val="24"/>
                <w:szCs w:val="24"/>
                <w:vertAlign w:val="subscript"/>
              </w:rPr>
              <w:t>3</w:t>
            </w:r>
            <w:r>
              <w:rPr>
                <w:rFonts w:hint="eastAsia" w:ascii="仿宋" w:hAnsi="仿宋" w:eastAsia="仿宋" w:cs="仿宋"/>
                <w:kern w:val="0"/>
                <w:sz w:val="24"/>
                <w:szCs w:val="24"/>
              </w:rPr>
              <w:t>是倍半氧化物中热导率最高材料，Lu</w:t>
            </w:r>
            <w:r>
              <w:rPr>
                <w:rFonts w:hint="eastAsia" w:ascii="仿宋" w:hAnsi="仿宋" w:eastAsia="仿宋" w:cs="仿宋"/>
                <w:kern w:val="0"/>
                <w:sz w:val="24"/>
                <w:szCs w:val="24"/>
                <w:vertAlign w:val="subscript"/>
              </w:rPr>
              <w:t>2</w:t>
            </w:r>
            <w:r>
              <w:rPr>
                <w:rFonts w:hint="eastAsia" w:ascii="仿宋" w:hAnsi="仿宋" w:eastAsia="仿宋" w:cs="仿宋"/>
                <w:kern w:val="0"/>
                <w:sz w:val="24"/>
                <w:szCs w:val="24"/>
              </w:rPr>
              <w:t>O</w:t>
            </w:r>
            <w:r>
              <w:rPr>
                <w:rFonts w:hint="eastAsia" w:ascii="仿宋" w:hAnsi="仿宋" w:eastAsia="仿宋" w:cs="仿宋"/>
                <w:kern w:val="0"/>
                <w:sz w:val="24"/>
                <w:szCs w:val="24"/>
                <w:vertAlign w:val="subscript"/>
              </w:rPr>
              <w:t>3</w:t>
            </w:r>
            <w:r>
              <w:rPr>
                <w:rFonts w:hint="eastAsia" w:ascii="仿宋" w:hAnsi="仿宋" w:eastAsia="仿宋" w:cs="仿宋"/>
                <w:kern w:val="0"/>
                <w:sz w:val="24"/>
                <w:szCs w:val="24"/>
              </w:rPr>
              <w:t>具有高吸收和发射截面，两者之间可形成无限固溶体通过灵活改变Re:(Lu</w:t>
            </w:r>
            <w:r>
              <w:rPr>
                <w:rFonts w:hint="eastAsia" w:ascii="仿宋" w:hAnsi="仿宋" w:eastAsia="仿宋" w:cs="仿宋"/>
                <w:kern w:val="0"/>
                <w:sz w:val="24"/>
                <w:szCs w:val="24"/>
                <w:vertAlign w:val="subscript"/>
              </w:rPr>
              <w:t>1-x</w:t>
            </w:r>
            <w:r>
              <w:rPr>
                <w:rFonts w:hint="eastAsia" w:ascii="仿宋" w:hAnsi="仿宋" w:eastAsia="仿宋" w:cs="仿宋"/>
                <w:kern w:val="0"/>
                <w:sz w:val="24"/>
                <w:szCs w:val="24"/>
              </w:rPr>
              <w:t>Sc</w:t>
            </w:r>
            <w:r>
              <w:rPr>
                <w:rFonts w:hint="eastAsia" w:ascii="仿宋" w:hAnsi="仿宋" w:eastAsia="仿宋" w:cs="仿宋"/>
                <w:kern w:val="0"/>
                <w:sz w:val="24"/>
                <w:szCs w:val="24"/>
                <w:vertAlign w:val="subscript"/>
              </w:rPr>
              <w:t>x</w:t>
            </w:r>
            <w:r>
              <w:rPr>
                <w:rFonts w:hint="eastAsia" w:ascii="仿宋" w:hAnsi="仿宋" w:eastAsia="仿宋" w:cs="仿宋"/>
                <w:kern w:val="0"/>
                <w:sz w:val="24"/>
                <w:szCs w:val="24"/>
              </w:rPr>
              <w:t>)2O3中Lu/Sc比例探索材料微观结构形成机制，从而获得最优材料性能。 国内外研究学者通过第一性原理预测计算Re:(Lu</w:t>
            </w:r>
            <w:r>
              <w:rPr>
                <w:rFonts w:hint="eastAsia" w:ascii="仿宋" w:hAnsi="仿宋" w:eastAsia="仿宋" w:cs="仿宋"/>
                <w:kern w:val="0"/>
                <w:sz w:val="24"/>
                <w:szCs w:val="24"/>
                <w:vertAlign w:val="subscript"/>
              </w:rPr>
              <w:t>1-x</w:t>
            </w:r>
            <w:r>
              <w:rPr>
                <w:rFonts w:hint="eastAsia" w:ascii="仿宋" w:hAnsi="仿宋" w:eastAsia="仿宋" w:cs="仿宋"/>
                <w:kern w:val="0"/>
                <w:sz w:val="24"/>
                <w:szCs w:val="24"/>
              </w:rPr>
              <w:t>Sc</w:t>
            </w:r>
            <w:r>
              <w:rPr>
                <w:rFonts w:hint="eastAsia" w:ascii="仿宋" w:hAnsi="仿宋" w:eastAsia="仿宋" w:cs="仿宋"/>
                <w:kern w:val="0"/>
                <w:sz w:val="24"/>
                <w:szCs w:val="24"/>
                <w:vertAlign w:val="subscript"/>
              </w:rPr>
              <w:t>x</w:t>
            </w:r>
            <w:r>
              <w:rPr>
                <w:rFonts w:hint="eastAsia" w:ascii="仿宋" w:hAnsi="仿宋" w:eastAsia="仿宋" w:cs="仿宋"/>
                <w:kern w:val="0"/>
                <w:sz w:val="24"/>
                <w:szCs w:val="24"/>
              </w:rPr>
              <w:t>)</w:t>
            </w:r>
            <w:r>
              <w:rPr>
                <w:rFonts w:hint="eastAsia" w:ascii="仿宋" w:hAnsi="仿宋" w:eastAsia="仿宋" w:cs="仿宋"/>
                <w:kern w:val="0"/>
                <w:sz w:val="24"/>
                <w:szCs w:val="24"/>
                <w:vertAlign w:val="subscript"/>
              </w:rPr>
              <w:t>2</w:t>
            </w:r>
            <w:r>
              <w:rPr>
                <w:rFonts w:hint="eastAsia" w:ascii="仿宋" w:hAnsi="仿宋" w:eastAsia="仿宋" w:cs="仿宋"/>
                <w:kern w:val="0"/>
                <w:sz w:val="24"/>
                <w:szCs w:val="24"/>
              </w:rPr>
              <w:t>O</w:t>
            </w:r>
            <w:r>
              <w:rPr>
                <w:rFonts w:hint="eastAsia" w:ascii="仿宋" w:hAnsi="仿宋" w:eastAsia="仿宋" w:cs="仿宋"/>
                <w:kern w:val="0"/>
                <w:sz w:val="24"/>
                <w:szCs w:val="24"/>
                <w:vertAlign w:val="subscript"/>
              </w:rPr>
              <w:t>3</w:t>
            </w:r>
            <w:r>
              <w:rPr>
                <w:rFonts w:hint="eastAsia" w:ascii="仿宋" w:hAnsi="仿宋" w:eastAsia="仿宋" w:cs="仿宋"/>
                <w:kern w:val="0"/>
                <w:sz w:val="24"/>
                <w:szCs w:val="24"/>
              </w:rPr>
              <w:t>非常适合作为高能激光器的增益介质，但是要制备高光学品质的Re:(Lu</w:t>
            </w:r>
            <w:r>
              <w:rPr>
                <w:rFonts w:hint="eastAsia" w:ascii="仿宋" w:hAnsi="仿宋" w:eastAsia="仿宋" w:cs="仿宋"/>
                <w:kern w:val="0"/>
                <w:sz w:val="24"/>
                <w:szCs w:val="24"/>
                <w:vertAlign w:val="subscript"/>
              </w:rPr>
              <w:t>1-x</w:t>
            </w:r>
            <w:r>
              <w:rPr>
                <w:rFonts w:hint="eastAsia" w:ascii="仿宋" w:hAnsi="仿宋" w:eastAsia="仿宋" w:cs="仿宋"/>
                <w:kern w:val="0"/>
                <w:sz w:val="24"/>
                <w:szCs w:val="24"/>
              </w:rPr>
              <w:t>Sc</w:t>
            </w:r>
            <w:r>
              <w:rPr>
                <w:rFonts w:hint="eastAsia" w:ascii="仿宋" w:hAnsi="仿宋" w:eastAsia="仿宋" w:cs="仿宋"/>
                <w:kern w:val="0"/>
                <w:sz w:val="24"/>
                <w:szCs w:val="24"/>
                <w:vertAlign w:val="subscript"/>
              </w:rPr>
              <w:t>x</w:t>
            </w:r>
            <w:r>
              <w:rPr>
                <w:rFonts w:hint="eastAsia" w:ascii="仿宋" w:hAnsi="仿宋" w:eastAsia="仿宋" w:cs="仿宋"/>
                <w:kern w:val="0"/>
                <w:sz w:val="24"/>
                <w:szCs w:val="24"/>
              </w:rPr>
              <w:t>)</w:t>
            </w:r>
            <w:r>
              <w:rPr>
                <w:rFonts w:hint="eastAsia" w:ascii="仿宋" w:hAnsi="仿宋" w:eastAsia="仿宋" w:cs="仿宋"/>
                <w:kern w:val="0"/>
                <w:sz w:val="24"/>
                <w:szCs w:val="24"/>
                <w:vertAlign w:val="subscript"/>
              </w:rPr>
              <w:t>2</w:t>
            </w:r>
            <w:r>
              <w:rPr>
                <w:rFonts w:hint="eastAsia" w:ascii="仿宋" w:hAnsi="仿宋" w:eastAsia="仿宋" w:cs="仿宋"/>
                <w:kern w:val="0"/>
                <w:sz w:val="24"/>
                <w:szCs w:val="24"/>
              </w:rPr>
              <w:t>O</w:t>
            </w:r>
            <w:r>
              <w:rPr>
                <w:rFonts w:hint="eastAsia" w:ascii="仿宋" w:hAnsi="仿宋" w:eastAsia="仿宋" w:cs="仿宋"/>
                <w:kern w:val="0"/>
                <w:sz w:val="24"/>
                <w:szCs w:val="24"/>
                <w:vertAlign w:val="subscript"/>
              </w:rPr>
              <w:t>3</w:t>
            </w:r>
            <w:r>
              <w:rPr>
                <w:rFonts w:hint="eastAsia" w:ascii="仿宋" w:hAnsi="仿宋" w:eastAsia="仿宋" w:cs="仿宋"/>
                <w:kern w:val="0"/>
                <w:sz w:val="24"/>
                <w:szCs w:val="24"/>
              </w:rPr>
              <w:t>激光陶瓷条件十分苛刻。</w:t>
            </w:r>
          </w:p>
          <w:p w14:paraId="2C6FA83A">
            <w:pPr>
              <w:snapToGrid w:val="0"/>
              <w:spacing w:line="312" w:lineRule="auto"/>
              <w:ind w:firstLine="480" w:firstLineChars="200"/>
              <w:rPr>
                <w:rFonts w:hint="eastAsia" w:ascii="仿宋" w:hAnsi="仿宋" w:eastAsia="仿宋" w:cs="仿宋"/>
                <w:kern w:val="0"/>
                <w:sz w:val="28"/>
                <w:szCs w:val="28"/>
              </w:rPr>
            </w:pPr>
            <w:r>
              <w:rPr>
                <w:rFonts w:hint="eastAsia" w:ascii="仿宋" w:hAnsi="仿宋" w:eastAsia="仿宋" w:cs="仿宋"/>
                <w:kern w:val="0"/>
                <w:sz w:val="24"/>
                <w:szCs w:val="24"/>
              </w:rPr>
              <w:t>拟通过本主题，结合激光陶瓷湿法成型制备工艺，推动高品质激光陶瓷制备，为我国自主产权高性能激光器的发展提供实验数据及科学理论依据，助力激光约束可控核聚变。</w:t>
            </w:r>
          </w:p>
        </w:tc>
      </w:tr>
      <w:tr w14:paraId="4CCA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4F76C336">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r>
              <w:rPr>
                <w:rFonts w:hint="eastAsia" w:ascii="仿宋" w:hAnsi="仿宋" w:eastAsia="仿宋" w:cs="仿宋"/>
                <w:b/>
                <w:bCs/>
                <w:kern w:val="0"/>
                <w:sz w:val="28"/>
                <w:szCs w:val="28"/>
              </w:rPr>
              <w:t>（不超过5项）</w:t>
            </w:r>
          </w:p>
          <w:p w14:paraId="1A2BD832">
            <w:pPr>
              <w:snapToGrid w:val="0"/>
              <w:spacing w:line="360" w:lineRule="auto"/>
              <w:rPr>
                <w:rFonts w:ascii="Times New Roman" w:hAnsi="Times New Roman" w:eastAsia="仿宋" w:cs="Times New Roman"/>
                <w:kern w:val="0"/>
                <w:sz w:val="24"/>
              </w:rPr>
            </w:pPr>
            <w:r>
              <w:rPr>
                <w:rFonts w:hint="eastAsia" w:ascii="仿宋" w:hAnsi="仿宋" w:eastAsia="仿宋" w:cs="仿宋"/>
                <w:kern w:val="0"/>
                <w:sz w:val="24"/>
                <w:szCs w:val="24"/>
              </w:rPr>
              <w:t>1.</w:t>
            </w:r>
            <w:r>
              <w:rPr>
                <w:rFonts w:ascii="Times New Roman" w:hAnsi="Times New Roman" w:eastAsia="仿宋" w:cs="Times New Roman"/>
                <w:kern w:val="0"/>
                <w:sz w:val="24"/>
              </w:rPr>
              <w:t>Lu/Sc比例调控对激光性能进行裁剪</w:t>
            </w:r>
          </w:p>
          <w:p w14:paraId="1F11A705">
            <w:pPr>
              <w:snapToGrid w:val="0"/>
              <w:spacing w:line="360" w:lineRule="auto"/>
              <w:rPr>
                <w:rFonts w:ascii="Times New Roman" w:hAnsi="Times New Roman" w:eastAsia="仿宋" w:cs="Times New Roman"/>
                <w:kern w:val="0"/>
                <w:sz w:val="24"/>
              </w:rPr>
            </w:pPr>
            <w:r>
              <w:rPr>
                <w:rFonts w:hint="eastAsia" w:ascii="仿宋" w:hAnsi="仿宋" w:eastAsia="仿宋" w:cs="仿宋"/>
                <w:kern w:val="0"/>
                <w:sz w:val="24"/>
                <w:szCs w:val="24"/>
              </w:rPr>
              <w:t>2.</w:t>
            </w:r>
            <w:r>
              <w:rPr>
                <w:rFonts w:ascii="Times New Roman" w:hAnsi="Times New Roman" w:eastAsia="仿宋" w:cs="Times New Roman"/>
                <w:kern w:val="0"/>
                <w:sz w:val="24"/>
              </w:rPr>
              <w:t>湿法成型工艺突破高品质激光陶瓷技术</w:t>
            </w:r>
          </w:p>
          <w:p w14:paraId="03412EC8">
            <w:pPr>
              <w:snapToGrid w:val="0"/>
              <w:spacing w:line="360" w:lineRule="auto"/>
              <w:rPr>
                <w:rFonts w:ascii="Times New Roman" w:hAnsi="Times New Roman" w:eastAsia="仿宋" w:cs="Times New Roman"/>
                <w:kern w:val="0"/>
                <w:sz w:val="24"/>
              </w:rPr>
            </w:pPr>
            <w:r>
              <w:rPr>
                <w:rFonts w:hint="eastAsia" w:ascii="仿宋" w:hAnsi="仿宋" w:eastAsia="仿宋" w:cs="仿宋"/>
                <w:kern w:val="0"/>
                <w:sz w:val="24"/>
                <w:szCs w:val="24"/>
              </w:rPr>
              <w:t>3.</w:t>
            </w:r>
            <w:r>
              <w:rPr>
                <w:rFonts w:ascii="Times New Roman" w:hAnsi="Times New Roman" w:eastAsia="仿宋" w:cs="Times New Roman"/>
                <w:kern w:val="0"/>
                <w:sz w:val="24"/>
              </w:rPr>
              <w:t>激光陶瓷可控烧结核心技术</w:t>
            </w:r>
          </w:p>
          <w:p w14:paraId="76AC5877">
            <w:pPr>
              <w:snapToGrid w:val="0"/>
              <w:spacing w:line="312" w:lineRule="auto"/>
              <w:rPr>
                <w:rFonts w:hint="eastAsia" w:ascii="仿宋" w:hAnsi="仿宋" w:eastAsia="仿宋" w:cs="仿宋"/>
                <w:kern w:val="0"/>
                <w:sz w:val="24"/>
                <w:szCs w:val="24"/>
              </w:rPr>
            </w:pPr>
            <w:r>
              <w:rPr>
                <w:rFonts w:hint="eastAsia" w:ascii="仿宋" w:hAnsi="仿宋" w:eastAsia="仿宋" w:cs="仿宋"/>
                <w:kern w:val="0"/>
                <w:sz w:val="24"/>
                <w:szCs w:val="24"/>
              </w:rPr>
              <w:t>4.</w:t>
            </w:r>
            <w:r>
              <w:rPr>
                <w:rFonts w:hint="eastAsia" w:ascii="Times New Roman" w:hAnsi="Times New Roman" w:eastAsia="仿宋" w:cs="Times New Roman"/>
                <w:kern w:val="0"/>
                <w:sz w:val="24"/>
              </w:rPr>
              <w:t>高能国体激光器激光输出性能</w:t>
            </w:r>
          </w:p>
        </w:tc>
      </w:tr>
    </w:tbl>
    <w:p w14:paraId="136B5B58">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br w:type="page"/>
      </w:r>
      <w:r>
        <w:rPr>
          <w:rFonts w:hint="eastAsia" w:ascii="仿宋" w:hAnsi="仿宋" w:eastAsia="仿宋" w:cs="仿宋_GB2312"/>
          <w:b/>
          <w:bCs/>
          <w:sz w:val="32"/>
          <w:szCs w:val="32"/>
        </w:rPr>
        <w:t>命题11（赛道二：双碳+新材料与新能源）</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3040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189BE8DB">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主题：直接空气二氧化碳捕集与一体化转化利用</w:t>
            </w:r>
          </w:p>
        </w:tc>
      </w:tr>
      <w:tr w14:paraId="5D0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441D2060">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2C6FEDE0">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直接空气碳捕集（DAC）是实现“双碳”目标必不可少的“负碳”排放技术，现有相对成熟的基于有机胺负载多孔载体的固体吸附技术存在高能耗和高成本的瓶颈问题。基于吸附催化双功能材料的直接空气CO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捕集转化一体化（DAC-ICCU）技术，利用碱金属吸附剂和过渡金属催化剂组成的吸附催化双功能材料，在常温下吸附CO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，吸附后无需将CO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脱附，利用可再生电力直接加氢催化反应制取甲烷或合成气等化学品，并同时实现吸附剂的再生。该技术避免了高能耗的吸附剂再生、CO</w:t>
            </w:r>
            <w:r>
              <w:rPr>
                <w:rFonts w:hint="eastAsia" w:ascii="仿宋" w:hAnsi="仿宋" w:eastAsia="仿宋" w:cs="仿宋"/>
                <w:kern w:val="0"/>
                <w:sz w:val="28"/>
                <w:szCs w:val="28"/>
                <w:vertAlign w:val="subscript"/>
              </w:rPr>
              <w:t>2</w:t>
            </w:r>
            <w:r>
              <w:rPr>
                <w:rFonts w:hint="eastAsia" w:ascii="仿宋" w:hAnsi="仿宋" w:eastAsia="仿宋" w:cs="仿宋"/>
                <w:kern w:val="0"/>
                <w:sz w:val="28"/>
                <w:szCs w:val="28"/>
              </w:rPr>
              <w:t>分离提纯以及转化利用过程，系统结构紧凑，可实现分布式的碳减排和能量的高效利用，有望为实现“双碳”目标提供前瞻变革性的技术储备。</w:t>
            </w:r>
          </w:p>
        </w:tc>
      </w:tr>
      <w:tr w14:paraId="53C2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3421AC85">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r>
              <w:rPr>
                <w:rFonts w:hint="eastAsia" w:ascii="仿宋" w:hAnsi="仿宋" w:eastAsia="仿宋" w:cs="仿宋"/>
                <w:b/>
                <w:bCs/>
                <w:kern w:val="0"/>
                <w:sz w:val="28"/>
                <w:szCs w:val="28"/>
              </w:rPr>
              <w:t>（不超过5项）</w:t>
            </w:r>
          </w:p>
          <w:p w14:paraId="0AE4419D">
            <w:pPr>
              <w:snapToGrid w:val="0"/>
              <w:spacing w:line="360" w:lineRule="auto"/>
              <w:rPr>
                <w:rFonts w:ascii="Times New Roman" w:hAnsi="Times New Roman" w:eastAsia="仿宋" w:cs="Times New Roman"/>
                <w:kern w:val="0"/>
                <w:sz w:val="28"/>
                <w:szCs w:val="24"/>
              </w:rPr>
            </w:pPr>
            <w:r>
              <w:rPr>
                <w:rFonts w:hint="eastAsia" w:ascii="仿宋" w:hAnsi="仿宋" w:eastAsia="仿宋" w:cs="仿宋"/>
                <w:kern w:val="0"/>
                <w:sz w:val="28"/>
                <w:szCs w:val="28"/>
              </w:rPr>
              <w:t>1.</w:t>
            </w:r>
            <w:r>
              <w:rPr>
                <w:rFonts w:hint="eastAsia" w:ascii="Times New Roman" w:hAnsi="Times New Roman" w:eastAsia="仿宋" w:cs="Times New Roman"/>
                <w:kern w:val="0"/>
                <w:sz w:val="28"/>
                <w:szCs w:val="24"/>
              </w:rPr>
              <w:t>直接空气二氧化碳捕集</w:t>
            </w:r>
          </w:p>
          <w:p w14:paraId="71B5C899">
            <w:pPr>
              <w:snapToGrid w:val="0"/>
              <w:spacing w:line="360" w:lineRule="auto"/>
              <w:rPr>
                <w:rFonts w:ascii="Times New Roman" w:hAnsi="Times New Roman" w:eastAsia="仿宋" w:cs="Times New Roman"/>
                <w:kern w:val="0"/>
                <w:sz w:val="28"/>
                <w:szCs w:val="24"/>
              </w:rPr>
            </w:pPr>
            <w:r>
              <w:rPr>
                <w:rFonts w:hint="eastAsia" w:ascii="仿宋" w:hAnsi="仿宋" w:eastAsia="仿宋" w:cs="仿宋"/>
                <w:kern w:val="0"/>
                <w:sz w:val="28"/>
                <w:szCs w:val="28"/>
              </w:rPr>
              <w:t>2.</w:t>
            </w:r>
            <w:r>
              <w:rPr>
                <w:rFonts w:hint="eastAsia" w:ascii="Times New Roman" w:hAnsi="Times New Roman" w:eastAsia="仿宋" w:cs="Times New Roman"/>
                <w:kern w:val="0"/>
                <w:sz w:val="28"/>
                <w:szCs w:val="24"/>
              </w:rPr>
              <w:t>二氧化碳催化转化</w:t>
            </w:r>
          </w:p>
          <w:p w14:paraId="65DD87FF">
            <w:pPr>
              <w:snapToGrid w:val="0"/>
              <w:spacing w:line="312" w:lineRule="auto"/>
              <w:rPr>
                <w:rFonts w:ascii="Times New Roman" w:hAnsi="Times New Roman" w:eastAsia="仿宋" w:cs="Times New Roman"/>
                <w:kern w:val="0"/>
                <w:sz w:val="28"/>
                <w:szCs w:val="24"/>
              </w:rPr>
            </w:pPr>
            <w:r>
              <w:rPr>
                <w:rFonts w:hint="eastAsia" w:ascii="仿宋" w:hAnsi="仿宋" w:eastAsia="仿宋" w:cs="仿宋"/>
                <w:kern w:val="0"/>
                <w:sz w:val="28"/>
                <w:szCs w:val="28"/>
              </w:rPr>
              <w:t>3.</w:t>
            </w:r>
            <w:r>
              <w:rPr>
                <w:rFonts w:hint="eastAsia" w:ascii="Times New Roman" w:hAnsi="Times New Roman" w:eastAsia="仿宋" w:cs="Times New Roman"/>
                <w:kern w:val="0"/>
                <w:sz w:val="28"/>
                <w:szCs w:val="24"/>
              </w:rPr>
              <w:t>碳捕集、利用与封存技术（CCUS）</w:t>
            </w:r>
          </w:p>
          <w:p w14:paraId="7EB7298F">
            <w:pPr>
              <w:snapToGrid w:val="0"/>
              <w:spacing w:line="312" w:lineRule="auto"/>
              <w:rPr>
                <w:rFonts w:ascii="Times New Roman" w:hAnsi="Times New Roman" w:eastAsia="仿宋" w:cs="Times New Roman"/>
                <w:kern w:val="0"/>
                <w:sz w:val="28"/>
                <w:szCs w:val="24"/>
              </w:rPr>
            </w:pPr>
            <w:r>
              <w:rPr>
                <w:rFonts w:hint="eastAsia" w:ascii="仿宋" w:hAnsi="仿宋" w:eastAsia="仿宋" w:cs="仿宋"/>
                <w:kern w:val="0"/>
                <w:sz w:val="28"/>
                <w:szCs w:val="28"/>
              </w:rPr>
              <w:t>4.</w:t>
            </w:r>
            <w:r>
              <w:rPr>
                <w:rFonts w:hint="eastAsia" w:ascii="Times New Roman" w:hAnsi="Times New Roman" w:eastAsia="仿宋" w:cs="Times New Roman"/>
                <w:kern w:val="0"/>
                <w:sz w:val="28"/>
                <w:szCs w:val="24"/>
              </w:rPr>
              <w:t>太阳燃料的合成与利用</w:t>
            </w:r>
          </w:p>
        </w:tc>
      </w:tr>
    </w:tbl>
    <w:p w14:paraId="059C2311">
      <w:pPr>
        <w:widowControl/>
        <w:jc w:val="left"/>
        <w:rPr>
          <w:rFonts w:hint="eastAsia" w:ascii="仿宋" w:hAnsi="仿宋" w:eastAsia="仿宋" w:cs="仿宋_GB2312"/>
          <w:b/>
          <w:bCs/>
          <w:sz w:val="32"/>
          <w:szCs w:val="32"/>
        </w:rPr>
      </w:pPr>
      <w:r>
        <w:rPr>
          <w:rFonts w:hint="eastAsia" w:ascii="仿宋" w:hAnsi="仿宋" w:eastAsia="仿宋" w:cs="仿宋_GB2312"/>
          <w:b/>
          <w:bCs/>
          <w:sz w:val="32"/>
          <w:szCs w:val="32"/>
        </w:rPr>
        <w:br w:type="page"/>
      </w:r>
    </w:p>
    <w:p w14:paraId="51F9E80A">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w:t>
      </w:r>
      <w:r>
        <w:rPr>
          <w:rFonts w:hint="eastAsia" w:ascii="仿宋" w:hAnsi="仿宋" w:eastAsia="仿宋" w:cs="仿宋_GB2312"/>
          <w:b/>
          <w:bCs/>
          <w:sz w:val="32"/>
          <w:szCs w:val="32"/>
        </w:rPr>
        <w:t>2（赛道三：双碳+电子、信息与大数据）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826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7B47AF8E">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主题：绿色低碳信息技术及其应用</w:t>
            </w:r>
          </w:p>
        </w:tc>
      </w:tr>
      <w:tr w14:paraId="4431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55456D79">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38590D3">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信息技术主要包括传感技术、计算机与智能技术、通信技术和控制技术等管理和处理信息所采用的各种技术的总称。然而，在社会信息化、数字化、智能化的进程中，信息技术也成为耗能大户。有数据显示，2018年计算机、数据中心和网络大约消耗全球电力的10%，其中，有源终端和数据中心各消耗30%，网络消耗40%。截至2022年5月末，我国5G基站总数达170万个，占移动基站总数的16.7%，5G移动电话用户达4.28亿户。然而，5G基站建设和运营能耗偏高，电费居高不下。综上，信息技术在性能指标、使用效率、管理方式、实际部署等方面存在各种现实问题。那么，如何在享受信息技术带来的便捷性和高效性的同时，又可以有效控制其能耗，更好地服务人类“双碳”的目标呢？</w:t>
            </w:r>
          </w:p>
          <w:p w14:paraId="1611CEA3">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拟通过本主题，合众之力，推动绿色低碳信息技术的发展，加强国家新一代信息技术的能耗管理和集约经营，探索绿色可持续发展之路。</w:t>
            </w:r>
          </w:p>
        </w:tc>
      </w:tr>
      <w:tr w14:paraId="13F3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8220" w:type="dxa"/>
          </w:tcPr>
          <w:p w14:paraId="295FE8D7">
            <w:pPr>
              <w:snapToGrid w:val="0"/>
              <w:spacing w:before="120" w:beforeLines="50" w:after="120" w:afterLines="50"/>
              <w:rPr>
                <w:rFonts w:hint="eastAsia" w:ascii="仿宋" w:hAnsi="仿宋" w:eastAsia="仿宋" w:cs="仿宋"/>
                <w:kern w:val="0"/>
                <w:sz w:val="32"/>
                <w:szCs w:val="32"/>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5F7446B0">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1.5G基站能耗监测与管理</w:t>
            </w:r>
          </w:p>
          <w:p w14:paraId="0AC8ABD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2.5G终端与核心网节能技术</w:t>
            </w:r>
          </w:p>
          <w:p w14:paraId="4F7487FB">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3.5G敏捷切片与通存算一体节能优化</w:t>
            </w:r>
          </w:p>
          <w:p w14:paraId="44918937">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4.电信运营商数据中心与可再生能源耦合</w:t>
            </w:r>
          </w:p>
          <w:p w14:paraId="1E49E570">
            <w:pPr>
              <w:snapToGrid w:val="0"/>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5.电信运营商数据中心余热利用</w:t>
            </w:r>
          </w:p>
        </w:tc>
      </w:tr>
    </w:tbl>
    <w:p w14:paraId="0A298930">
      <w:pPr>
        <w:snapToGrid w:val="0"/>
        <w:spacing w:before="120" w:beforeLines="50" w:after="120" w:afterLines="50" w:line="500" w:lineRule="exact"/>
        <w:jc w:val="center"/>
        <w:rPr>
          <w:rFonts w:hint="eastAsia" w:ascii="仿宋" w:hAnsi="仿宋" w:eastAsia="仿宋" w:cs="仿宋_GB2312"/>
          <w:b/>
          <w:bCs/>
          <w:sz w:val="32"/>
          <w:szCs w:val="32"/>
        </w:rPr>
      </w:pPr>
    </w:p>
    <w:p w14:paraId="7680A304">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3FFAD394">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1</w:t>
      </w:r>
      <w:r>
        <w:rPr>
          <w:rFonts w:hint="eastAsia" w:ascii="仿宋" w:hAnsi="仿宋" w:eastAsia="仿宋" w:cs="仿宋_GB2312"/>
          <w:b/>
          <w:bCs/>
          <w:sz w:val="32"/>
          <w:szCs w:val="32"/>
        </w:rPr>
        <w:t>3（赛道三：双碳+电子、信息与大数据）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7FE6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1493A9D0">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主题：绿色高效大规模预训练AI技术</w:t>
            </w:r>
          </w:p>
        </w:tc>
      </w:tr>
      <w:tr w14:paraId="3B5E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40BB9A92">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7825AFB9">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大规模预训练模型是人工智能重要发展方向，其通过训练以执行大量数据上的特定任务获得具有通用的深度学习架构的模型。但据最近的研究发现，单一大模型在训练阶段产生的二氧化碳量甚至可达284吨，远超一辆家用轿车在其寿命内排放的二氧化碳量；而模型的规模还一直在增长。尽管人工智能算法性能取得了长足的发展，但如何高效去训练这些大规模预训练模型非常有挑战意义，对低碳环保意义巨大的。另一方面，人工智能等技术为转型低碳社会开辟了新的途径，绿色计算（绿色AI）相关技术对减碳贡献将越来越突出，绿色算力和算法应用于传统行业和数据中心，潜力巨大。因此，如何创新性地设计兼顾性能和能耗的绿色算法、优化流程来降低算力，同时通过优化数据中心能耗，更好地评估兼顾性能和能耗的预训练模型在当下非常迫切。</w:t>
            </w:r>
          </w:p>
          <w:p w14:paraId="58D3407F">
            <w:pPr>
              <w:snapToGrid w:val="0"/>
              <w:spacing w:line="312" w:lineRule="auto"/>
              <w:ind w:firstLine="560" w:firstLineChars="200"/>
              <w:rPr>
                <w:rFonts w:hint="eastAsia" w:ascii="仿宋" w:hAnsi="仿宋" w:eastAsia="仿宋" w:cs="仿宋"/>
                <w:b/>
                <w:bCs/>
                <w:kern w:val="0"/>
                <w:sz w:val="32"/>
                <w:szCs w:val="32"/>
              </w:rPr>
            </w:pPr>
            <w:r>
              <w:rPr>
                <w:rFonts w:hint="eastAsia" w:ascii="仿宋" w:hAnsi="仿宋" w:eastAsia="仿宋" w:cs="仿宋"/>
                <w:kern w:val="0"/>
                <w:sz w:val="28"/>
                <w:szCs w:val="28"/>
              </w:rPr>
              <w:t>拟通过本主题，设计合理地高效大规模预训练模型的性能衡量指标，推动低能耗的大规模预训练模型和AI算法技术的发展，帮助推动云端碳排放减排问题的解决，探索可持续发展的人工智能赋能绿色计算之路。</w:t>
            </w:r>
          </w:p>
        </w:tc>
      </w:tr>
      <w:tr w14:paraId="2EA7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8220" w:type="dxa"/>
          </w:tcPr>
          <w:p w14:paraId="24C04BB4">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0024F16A">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1.利用技术优化，降低云端数据中心能耗</w:t>
            </w:r>
          </w:p>
          <w:p w14:paraId="244E2BC1">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2.开发低能耗的超大规模预训练模型</w:t>
            </w:r>
          </w:p>
          <w:p w14:paraId="65F14016">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3.对云端用电进行检测，优化系统，实现低碳数据中心</w:t>
            </w:r>
          </w:p>
          <w:p w14:paraId="73348453">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4.监控碳排放，优化机组控制</w:t>
            </w:r>
          </w:p>
          <w:p w14:paraId="40C5596A">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5.设计更科学地评估兼顾性能和能耗的AI算法的指标</w:t>
            </w:r>
          </w:p>
          <w:p w14:paraId="6E041BAF">
            <w:pPr>
              <w:snapToGrid w:val="0"/>
              <w:spacing w:line="312" w:lineRule="auto"/>
              <w:rPr>
                <w:rFonts w:hint="eastAsia" w:ascii="仿宋" w:hAnsi="仿宋" w:eastAsia="仿宋" w:cs="仿宋"/>
                <w:b/>
                <w:bCs/>
                <w:kern w:val="0"/>
                <w:sz w:val="32"/>
                <w:szCs w:val="32"/>
              </w:rPr>
            </w:pPr>
            <w:r>
              <w:rPr>
                <w:rFonts w:hint="eastAsia" w:ascii="仿宋" w:hAnsi="仿宋" w:eastAsia="仿宋" w:cs="仿宋"/>
                <w:kern w:val="0"/>
                <w:sz w:val="28"/>
                <w:szCs w:val="28"/>
              </w:rPr>
              <w:t>6.设计人工智能碳抵消策略</w:t>
            </w:r>
          </w:p>
        </w:tc>
      </w:tr>
    </w:tbl>
    <w:p w14:paraId="5830F5AA">
      <w:pPr>
        <w:rPr>
          <w:rFonts w:hint="eastAsia" w:ascii="仿宋" w:hAnsi="仿宋" w:eastAsia="仿宋" w:cs="仿宋_GB2312"/>
          <w:sz w:val="32"/>
          <w:szCs w:val="32"/>
        </w:rPr>
      </w:pPr>
      <w:r>
        <w:rPr>
          <w:rFonts w:ascii="仿宋" w:hAnsi="仿宋" w:eastAsia="仿宋" w:cs="仿宋_GB2312"/>
          <w:sz w:val="32"/>
          <w:szCs w:val="32"/>
        </w:rPr>
        <w:br w:type="page"/>
      </w:r>
    </w:p>
    <w:p w14:paraId="694D5651">
      <w:pPr>
        <w:jc w:val="center"/>
        <w:rPr>
          <w:rFonts w:hint="eastAsia" w:ascii="仿宋" w:hAnsi="仿宋" w:eastAsia="仿宋"/>
          <w:sz w:val="32"/>
          <w:szCs w:val="32"/>
        </w:rPr>
      </w:pPr>
      <w:r>
        <w:rPr>
          <w:rFonts w:hint="eastAsia" w:ascii="仿宋" w:hAnsi="仿宋" w:eastAsia="仿宋" w:cs="仿宋_GB2312"/>
          <w:b/>
          <w:bCs/>
          <w:sz w:val="32"/>
          <w:szCs w:val="32"/>
        </w:rPr>
        <w:t>命题14（赛道三：双碳+电子、信息与大数据）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E7B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56F56047">
            <w:pPr>
              <w:snapToGrid w:val="0"/>
              <w:spacing w:before="120" w:beforeLines="50" w:after="120" w:afterLines="50"/>
              <w:rPr>
                <w:rFonts w:hint="eastAsia" w:ascii="仿宋" w:hAnsi="仿宋" w:eastAsia="仿宋" w:cs="仿宋"/>
                <w:kern w:val="0"/>
                <w:sz w:val="32"/>
                <w:szCs w:val="32"/>
              </w:rPr>
            </w:pPr>
            <w:r>
              <w:rPr>
                <w:rFonts w:hint="eastAsia" w:ascii="仿宋" w:hAnsi="仿宋" w:eastAsia="仿宋" w:cs="仿宋"/>
                <w:b/>
                <w:bCs/>
                <w:kern w:val="0"/>
                <w:sz w:val="28"/>
                <w:szCs w:val="28"/>
              </w:rPr>
              <w:t>主题：提升5G基站功率放大器效率减少碳排放关键技术</w:t>
            </w:r>
          </w:p>
        </w:tc>
      </w:tr>
      <w:tr w14:paraId="6804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14:paraId="00BD9F42">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05934819">
            <w:pPr>
              <w:snapToGrid w:val="0"/>
              <w:spacing w:line="312"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实现 2030 年前碳达峰、2060 年前碳中和的“双碳”目标是党中央经过深思熟虑做出 的重大战略部署，也是中国对人类命运共同体应对气候变化的庄严承诺。我国正积极全 面布局 5G 产业，根据赛迪预计未来几年内我国将建设超过 1140 万个 5G 基站。2025 年该行业将占全球电量消耗总量的五分之一，5G 基站已成为影响通信行业碳排放的最重 要基础设施。为达成“双碳”目标，通信行业节能减碳势在必行。 基站能耗的主要问题是发射机的射频功率放大器效率问题，提升射频功率放大器的 效率是解决能耗问题的关键技术。提升功率放大器的效率需要使其工作在饱和区，导致线性度下降。功率放大器输出信号失真，5G 通信信号为非恒包络波形，调制方式复杂，产生更严重的谐波和交调等电磁干扰信号，落在带内引起信噪比降低，误码率上升，甚至无法解调；落在带外引起邻道抑制比降低，干扰其他通信频段，导致邻近 信道接收信号信噪比降低，造成严重的电磁兼容问题。</w:t>
            </w:r>
          </w:p>
          <w:p w14:paraId="7E41A57F">
            <w:pPr>
              <w:snapToGrid w:val="0"/>
              <w:spacing w:line="312"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因此提升功率放大器的效率并抑制非线性是减少5G基站碳排放的重要举措，是通信行业减少能耗的难点问题和关键问题。那么，如何利用功率放大器效率提升技术降低能耗，降低成本，更好地促进节能减排？可在器件级通过物理仿真优化器件结构和工艺，提升输出功率，降低峰值电场，抑制自热效应等。在电路级采用谐波匹配、偏置电路、温度补偿电路、功率合成等关键技术提升线性度、功率和效率。在系统级通过数字预失真、热仿真提升效率和线性度。</w:t>
            </w:r>
          </w:p>
          <w:p w14:paraId="3776EA3D">
            <w:pPr>
              <w:snapToGrid w:val="0"/>
              <w:spacing w:line="312" w:lineRule="auto"/>
              <w:ind w:firstLine="480" w:firstLineChars="200"/>
              <w:rPr>
                <w:rFonts w:hint="eastAsia" w:ascii="仿宋" w:hAnsi="仿宋" w:eastAsia="仿宋" w:cs="仿宋"/>
                <w:kern w:val="0"/>
                <w:sz w:val="32"/>
                <w:szCs w:val="32"/>
              </w:rPr>
            </w:pPr>
            <w:r>
              <w:rPr>
                <w:rFonts w:hint="eastAsia" w:ascii="仿宋" w:hAnsi="仿宋" w:eastAsia="仿宋" w:cs="仿宋"/>
                <w:kern w:val="0"/>
                <w:sz w:val="24"/>
                <w:szCs w:val="24"/>
              </w:rPr>
              <w:t>拟通过本主题，合众之力，综合功率放大器升效降碳技术，探索支持可持续发展的通信技术。</w:t>
            </w:r>
          </w:p>
        </w:tc>
      </w:tr>
      <w:tr w14:paraId="6D13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220" w:type="dxa"/>
          </w:tcPr>
          <w:p w14:paraId="1FECB38F">
            <w:pPr>
              <w:snapToGrid w:val="0"/>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56B12D85">
            <w:pPr>
              <w:snapToGrid w:val="0"/>
              <w:spacing w:line="312" w:lineRule="auto"/>
              <w:rPr>
                <w:rFonts w:hint="eastAsia" w:ascii="仿宋" w:hAnsi="仿宋" w:eastAsia="仿宋" w:cs="仿宋"/>
                <w:kern w:val="0"/>
                <w:sz w:val="24"/>
                <w:szCs w:val="24"/>
              </w:rPr>
            </w:pPr>
            <w:r>
              <w:rPr>
                <w:rFonts w:hint="eastAsia" w:ascii="仿宋" w:hAnsi="仿宋" w:eastAsia="仿宋" w:cs="仿宋"/>
                <w:kern w:val="0"/>
                <w:sz w:val="24"/>
                <w:szCs w:val="24"/>
              </w:rPr>
              <w:t>1.提升功率放大器效率技术</w:t>
            </w:r>
          </w:p>
          <w:p w14:paraId="662C2679">
            <w:pPr>
              <w:snapToGrid w:val="0"/>
              <w:spacing w:line="312" w:lineRule="auto"/>
              <w:rPr>
                <w:rFonts w:hint="eastAsia" w:ascii="仿宋" w:hAnsi="仿宋" w:eastAsia="仿宋" w:cs="仿宋"/>
                <w:kern w:val="0"/>
                <w:sz w:val="24"/>
                <w:szCs w:val="24"/>
              </w:rPr>
            </w:pPr>
            <w:r>
              <w:rPr>
                <w:rFonts w:hint="eastAsia" w:ascii="仿宋" w:hAnsi="仿宋" w:eastAsia="仿宋" w:cs="仿宋"/>
                <w:kern w:val="0"/>
                <w:sz w:val="24"/>
                <w:szCs w:val="24"/>
              </w:rPr>
              <w:t>2.提升功率放大器线性度技术</w:t>
            </w:r>
          </w:p>
          <w:p w14:paraId="46CCE405">
            <w:pPr>
              <w:snapToGrid w:val="0"/>
              <w:spacing w:line="312" w:lineRule="auto"/>
              <w:rPr>
                <w:rFonts w:hint="eastAsia" w:ascii="仿宋" w:hAnsi="仿宋" w:eastAsia="仿宋" w:cs="仿宋"/>
                <w:kern w:val="0"/>
                <w:sz w:val="24"/>
                <w:szCs w:val="24"/>
              </w:rPr>
            </w:pPr>
            <w:r>
              <w:rPr>
                <w:rFonts w:hint="eastAsia" w:ascii="仿宋" w:hAnsi="仿宋" w:eastAsia="仿宋" w:cs="仿宋"/>
                <w:kern w:val="0"/>
                <w:sz w:val="24"/>
                <w:szCs w:val="24"/>
              </w:rPr>
              <w:t>3.提升功率放大器功率技术</w:t>
            </w:r>
          </w:p>
          <w:p w14:paraId="3D547B85">
            <w:pPr>
              <w:snapToGrid w:val="0"/>
              <w:spacing w:line="312" w:lineRule="auto"/>
              <w:rPr>
                <w:rFonts w:hint="eastAsia" w:ascii="仿宋" w:hAnsi="仿宋" w:eastAsia="仿宋" w:cs="仿宋"/>
                <w:b/>
                <w:bCs/>
                <w:kern w:val="0"/>
                <w:sz w:val="32"/>
                <w:szCs w:val="32"/>
              </w:rPr>
            </w:pPr>
            <w:r>
              <w:rPr>
                <w:rFonts w:hint="eastAsia" w:ascii="仿宋" w:hAnsi="仿宋" w:eastAsia="仿宋" w:cs="仿宋"/>
                <w:kern w:val="0"/>
                <w:sz w:val="24"/>
                <w:szCs w:val="24"/>
              </w:rPr>
              <w:t>4.提升基站高效散热技术</w:t>
            </w:r>
          </w:p>
        </w:tc>
      </w:tr>
    </w:tbl>
    <w:p w14:paraId="1B4E338E">
      <w:pPr>
        <w:rPr>
          <w:rFonts w:hint="eastAsia" w:ascii="仿宋" w:hAnsi="仿宋" w:eastAsia="仿宋" w:cs="仿宋_GB2312"/>
          <w:b/>
          <w:bCs/>
          <w:sz w:val="32"/>
          <w:szCs w:val="32"/>
        </w:rPr>
      </w:pPr>
    </w:p>
    <w:p w14:paraId="221C958C">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3DA1CFDC">
      <w:pPr>
        <w:jc w:val="center"/>
        <w:rPr>
          <w:rFonts w:hint="eastAsia" w:ascii="仿宋" w:hAnsi="仿宋" w:eastAsia="仿宋" w:cs="仿宋_GB2312"/>
          <w:b/>
          <w:bCs/>
          <w:sz w:val="32"/>
          <w:szCs w:val="32"/>
        </w:rPr>
      </w:pPr>
      <w:r>
        <w:rPr>
          <w:rFonts w:hint="eastAsia" w:ascii="仿宋" w:hAnsi="仿宋" w:eastAsia="仿宋" w:cs="仿宋_GB2312"/>
          <w:b/>
          <w:bCs/>
          <w:sz w:val="32"/>
          <w:szCs w:val="32"/>
        </w:rPr>
        <w:t>命题15（赛道三：双碳+电子、信息与大数据）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309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03B00703">
            <w:pPr>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主题：多模式能量采集与管理技术</w:t>
            </w:r>
          </w:p>
        </w:tc>
      </w:tr>
      <w:tr w14:paraId="67CD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7749A9B2">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000117D">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能量采集技术是从自然环境中收集热能、电磁能、机械能等各种形式能量的技术，近年来已成为低功率电子设备的一种无电池设计趋势，在物联网、工业控制、医疗电子等诸多领域获得广泛应用。与容量有限的常规电池相比，能量采集技术能够延长电子设备的运行，降低更换电池等设备维护成本，并有效减少对常规能源消耗。</w:t>
            </w:r>
          </w:p>
          <w:p w14:paraId="7DABE41D">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然而，能量采集所能够提供的电力输出的性能高度依赖于外界环境，强度较弱且具有随机性，必须结合优化的电源管理机制，才能为电子设备提供较为稳定、持续的能量供应。此外，结合多种类型的能量采集技术（例如同时收集光能和电磁能），可有效提高供电的稳定性。</w:t>
            </w:r>
          </w:p>
          <w:p w14:paraId="465B2877">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围绕“双碳”目标，以“绿色通信”为主题，针对物联网或无线传感网等低功率通信网络，提出一项创新设计项目，为人们的日常生活提供更加绿色、环保、低碳的通信服务。</w:t>
            </w:r>
          </w:p>
          <w:p w14:paraId="322C47DB">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本赛道聚焦于创新设计，设计方案需展现具体的设计项目，鼓励设计项目与科技成果相结合，设计形式包括而不限于产品设计、服务设计、视觉传达设计、社会创新设计、公共设施设计等。</w:t>
            </w:r>
          </w:p>
        </w:tc>
      </w:tr>
      <w:tr w14:paraId="2568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14:paraId="4D3EBB84">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7AAC8C5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1.基于能量采集的智慧城市或工业控制创新性应用设计</w:t>
            </w:r>
          </w:p>
          <w:p w14:paraId="4891F50C">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2.在该应用中，融合多种（两种或以上）能量采集方式的电子设备终端供电设计方案</w:t>
            </w:r>
          </w:p>
          <w:p w14:paraId="2272B3CA">
            <w:pPr>
              <w:snapToGrid w:val="0"/>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3.在该应用中，提高能量使用效率和设备运行稳定性的电源管理设计方案</w:t>
            </w:r>
          </w:p>
        </w:tc>
      </w:tr>
    </w:tbl>
    <w:p w14:paraId="238CF88D">
      <w:pPr>
        <w:jc w:val="center"/>
        <w:rPr>
          <w:rFonts w:hint="eastAsia" w:ascii="仿宋" w:hAnsi="仿宋" w:eastAsia="仿宋" w:cs="仿宋_GB2312"/>
          <w:b/>
          <w:bCs/>
          <w:sz w:val="32"/>
          <w:szCs w:val="32"/>
        </w:rPr>
      </w:pPr>
    </w:p>
    <w:p w14:paraId="7227F9A9">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02A1AA54">
      <w:pPr>
        <w:jc w:val="center"/>
        <w:rPr>
          <w:rFonts w:hint="eastAsia" w:ascii="仿宋" w:hAnsi="仿宋" w:eastAsia="仿宋" w:cs="仿宋_GB2312"/>
          <w:b/>
          <w:bCs/>
          <w:sz w:val="32"/>
          <w:szCs w:val="32"/>
        </w:rPr>
      </w:pPr>
      <w:r>
        <w:rPr>
          <w:rFonts w:hint="eastAsia" w:ascii="仿宋" w:hAnsi="仿宋" w:eastAsia="仿宋" w:cs="仿宋_GB2312"/>
          <w:b/>
          <w:bCs/>
          <w:sz w:val="32"/>
          <w:szCs w:val="32"/>
        </w:rPr>
        <w:t>命题16（赛道三：双碳+电子、信息与大数据）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77FE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0F101B94">
            <w:pPr>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主题：碳排放、碳汇的计量监测应用及解决方案</w:t>
            </w:r>
          </w:p>
        </w:tc>
      </w:tr>
      <w:tr w14:paraId="5121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04009D92">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26A98A09">
            <w:pPr>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全球及地区碳排放和碳汇的计量监测成为评估和跟踪碳中和进程的重要手段，可以帮助国家和地区制定有效的气候政策、监督和评估减排措施的实施效果，并为国际社会合作提供基础数据。为了实现全球和地区的碳排放和碳汇的计量监测，需要开发和应用各种技术和方法。这包括遥感技术、气象观测、地面测量和模型模拟等。同时，需要依据国际标准和规范，以确保监测结果的可比性和一致性。然而，全球及地区碳排放、碳汇的计量监测仍面临一些挑战。其中之一是数据质量和评价标准问题。要准确计量排放和吸收，需要可靠的数据来源和一致性的计量标准。另一个方面是监测覆盖的不完整性，一些特殊的碳排放源和碳汇地区，如极地地区、热带雨林等，由于环境复杂性和地理位置的限制，监测工作面临更大的困难。此外，技术和方法的不断发展也需要持续地研究和创新，以提高计量监测的准确性和效率。在有效解决上述问题的基础上，通过全球和地区的碳排放和碳汇的计量监测应用，可以更好地理解和评估人类活动对气候变化的影响，为碳减排和碳增汇方案的制定提供科学依据。并且有助于推动可持续发展和低碳经济转型，保护生态环境，改善人类福祉。</w:t>
            </w:r>
          </w:p>
        </w:tc>
      </w:tr>
      <w:tr w14:paraId="5C28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14:paraId="044421F2">
            <w:pPr>
              <w:spacing w:before="120" w:beforeLines="50" w:after="120" w:afterLines="50"/>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eastAsia="zh-TW"/>
              </w:rPr>
              <w:t>：</w:t>
            </w:r>
          </w:p>
          <w:p w14:paraId="44D6FA76">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1.大数据和人工智能在碳排放、碳汇监测中的应用</w:t>
            </w:r>
          </w:p>
          <w:p w14:paraId="06534787">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2.基于遥感技术和物联网的监测系统构建</w:t>
            </w:r>
          </w:p>
          <w:p w14:paraId="43EBC489">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3.碳循环模型的开发和改进</w:t>
            </w:r>
          </w:p>
          <w:p w14:paraId="46DF81FA">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4.碳排放和碳汇的区域特征和影响因素研究</w:t>
            </w:r>
          </w:p>
          <w:p w14:paraId="078A353B">
            <w:pPr>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5.碳减排和碳增汇的策略研究</w:t>
            </w:r>
          </w:p>
        </w:tc>
      </w:tr>
    </w:tbl>
    <w:p w14:paraId="24E6F286">
      <w:pPr>
        <w:widowControl/>
        <w:jc w:val="center"/>
        <w:rPr>
          <w:rFonts w:hint="eastAsia" w:ascii="仿宋" w:hAnsi="仿宋" w:eastAsia="仿宋" w:cs="仿宋_GB2312"/>
          <w:sz w:val="32"/>
          <w:szCs w:val="32"/>
        </w:rPr>
      </w:pPr>
      <w:r>
        <w:rPr>
          <w:rFonts w:ascii="仿宋" w:hAnsi="仿宋" w:eastAsia="仿宋" w:cs="仿宋_GB2312"/>
          <w:sz w:val="32"/>
          <w:szCs w:val="32"/>
        </w:rPr>
        <w:br w:type="page"/>
      </w:r>
      <w:r>
        <w:rPr>
          <w:rFonts w:hint="eastAsia" w:ascii="仿宋" w:hAnsi="仿宋" w:eastAsia="仿宋" w:cs="仿宋_GB2312"/>
          <w:b/>
          <w:bCs/>
          <w:sz w:val="32"/>
          <w:szCs w:val="32"/>
        </w:rPr>
        <w:t>命题17（赛道三：双碳+电子、信息与大数据）</w:t>
      </w:r>
    </w:p>
    <w:tbl>
      <w:tblPr>
        <w:tblStyle w:val="5"/>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8"/>
      </w:tblGrid>
      <w:tr w14:paraId="5F97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14:paraId="4AF2CC61">
            <w:pPr>
              <w:widowControl/>
              <w:spacing w:before="120" w:beforeLines="50" w:after="120" w:afterLines="50"/>
              <w:rPr>
                <w:rFonts w:hint="eastAsia" w:ascii="仿宋" w:hAnsi="仿宋" w:eastAsia="仿宋" w:cs="Times New Roman"/>
                <w:kern w:val="0"/>
                <w:sz w:val="32"/>
                <w:szCs w:val="32"/>
              </w:rPr>
            </w:pPr>
            <w:r>
              <w:rPr>
                <w:rFonts w:hint="eastAsia" w:ascii="仿宋" w:hAnsi="仿宋" w:eastAsia="仿宋" w:cs="仿宋"/>
                <w:b/>
                <w:bCs/>
                <w:kern w:val="0"/>
                <w:sz w:val="28"/>
                <w:szCs w:val="28"/>
              </w:rPr>
              <w:t>主题：</w:t>
            </w:r>
            <w:bookmarkStart w:id="2" w:name="_Hlk136447372"/>
            <w:r>
              <w:rPr>
                <w:rFonts w:hint="eastAsia" w:ascii="仿宋" w:hAnsi="仿宋" w:eastAsia="仿宋" w:cs="仿宋"/>
                <w:b/>
                <w:bCs/>
                <w:kern w:val="0"/>
                <w:sz w:val="28"/>
                <w:szCs w:val="28"/>
              </w:rPr>
              <w:t>城镇低碳智慧供热（供冷）技术</w:t>
            </w:r>
            <w:bookmarkEnd w:id="2"/>
          </w:p>
        </w:tc>
      </w:tr>
      <w:tr w14:paraId="636D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14:paraId="5406BC03">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21679D5A">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随着我国“双碳”战略的持续推进，在构建清洁低碳、安全高效能源体系与大力发展清洁能源供热的新时代背景下，供热行业节能转型势在必行。供热行业发展正式向清洁低碳、高效灵活的智慧供热迈进。随着数字化转型升级深入推进，以信息技术与人工智能技术推动供热技术智慧升级，实现智慧供热，是提高能源利用率的重要手段。</w:t>
            </w:r>
          </w:p>
          <w:p w14:paraId="1F0C4C81">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智慧供热致力于打造基于新一代人工智能、物联网、5G通信以及大数据、云计算等信息技术的综合解决方案。通过运用感知技术、空间定位、物联网等技术全面连接供热系统中的热源、热网、热力站、热用户和终端智能设备，充分利用大数据、云计算、人工智能等技术优化控制供热系统中的各个设备，实现节能降耗、全面管理运行；实现大数据的实时监管、量化，数据化房屋能耗诊断；实现节能环保、能源利用率最佳的供热愿景。</w:t>
            </w:r>
          </w:p>
          <w:p w14:paraId="35DFBD4B">
            <w:pPr>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智慧供热符合国家节能减排、可持续发展理念，可以最大限度地实现节能和减少碳排放，对于能源节约和减少碳排放等方面都具有重要现实意义，可以为“碳达峰、碳中和”重大战略目标的实现提供助力。</w:t>
            </w:r>
          </w:p>
        </w:tc>
      </w:tr>
      <w:tr w14:paraId="57B2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14:paraId="00418DC7">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6DE8BCD1">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1.智慧供热（供冷）系统评价体系</w:t>
            </w:r>
          </w:p>
          <w:p w14:paraId="14A0A09B">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2.智慧供热（供冷）系统实现技术及架构</w:t>
            </w:r>
          </w:p>
          <w:p w14:paraId="713E13C7">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3.智慧供热（供冷）系统数字化平台建设</w:t>
            </w:r>
          </w:p>
          <w:p w14:paraId="75899F58">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4.智慧供热（供冷）系统调控与运维</w:t>
            </w:r>
          </w:p>
          <w:p w14:paraId="3BB2DC18">
            <w:pPr>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5.智慧供热（供冷）建筑能源一体化系统方案</w:t>
            </w:r>
          </w:p>
        </w:tc>
      </w:tr>
    </w:tbl>
    <w:p w14:paraId="6FFC6FF7">
      <w:pPr>
        <w:rPr>
          <w:rFonts w:hint="eastAsia" w:ascii="仿宋" w:hAnsi="仿宋" w:eastAsia="仿宋" w:cs="仿宋_GB2312"/>
          <w:sz w:val="32"/>
          <w:szCs w:val="32"/>
        </w:rPr>
      </w:pPr>
    </w:p>
    <w:p w14:paraId="4F792436">
      <w:pPr>
        <w:widowControl/>
        <w:jc w:val="left"/>
        <w:rPr>
          <w:rFonts w:hint="eastAsia" w:ascii="仿宋" w:hAnsi="仿宋" w:eastAsia="仿宋" w:cs="仿宋_GB2312"/>
          <w:sz w:val="32"/>
          <w:szCs w:val="32"/>
        </w:rPr>
      </w:pPr>
      <w:r>
        <w:rPr>
          <w:rFonts w:hint="eastAsia" w:ascii="仿宋" w:hAnsi="仿宋" w:eastAsia="仿宋" w:cs="仿宋_GB2312"/>
          <w:sz w:val="32"/>
          <w:szCs w:val="32"/>
        </w:rPr>
        <w:br w:type="page"/>
      </w:r>
    </w:p>
    <w:p w14:paraId="756F1689">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命题18（赛道三：双碳+电子、信息与大数据）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308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41C08DB1">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主题：新能源系统智慧运维</w:t>
            </w:r>
          </w:p>
        </w:tc>
      </w:tr>
      <w:tr w14:paraId="2F0B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4907ECDB">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50167A21">
            <w:pPr>
              <w:snapToGri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随着全球气候变化问题加剧，各国加大对可再生能源的投资，以减少对化石燃料的依赖。风能、太阳能和水能设备的普及推动了能源结构的转型，但如何高效智能地运维这些设备成为关键问题。智能运维技术应运而生，通过物联网（IoT）、大数据分析和人工智能（AI）技术，实现设备状态的全面感知和智能化处理，提高运维效率，降低成本，延长设备寿命。</w:t>
            </w:r>
          </w:p>
          <w:p w14:paraId="09582566">
            <w:pPr>
              <w:snapToGri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物联网技术通过传感器实时采集设备数据，传输到中央系统进行分析。大数据技术处理海量数据，提取有价值的信息和模式，预测设备故障趋势，制定预防性维护策略。人工智能技术分析设备运行状态，识别异常情况并提出处理建议。</w:t>
            </w:r>
          </w:p>
          <w:p w14:paraId="159F72A1">
            <w:pPr>
              <w:snapToGri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在风力发电领域，智能运维系统实现远程监控和自动化维护，提高运维效率和风电场效益。太阳能发电领域，通过实时监测和自动清洁，确保电池板高效运行。水力发电领域，智能运维系统提前发现潜在问题，防止重大故障。</w:t>
            </w:r>
          </w:p>
          <w:p w14:paraId="20FD4349">
            <w:pPr>
              <w:snapToGrid w:val="0"/>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尽管智能运维面临数据安全、技术标准化和高初期投资等挑战，随着技术进步和经验积累，智能运维将在新能源设备管理中发挥重要作用，推动可再生能源高效利用和新能源产业发展。</w:t>
            </w:r>
          </w:p>
        </w:tc>
      </w:tr>
      <w:tr w14:paraId="10AE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5739ED0B">
            <w:pPr>
              <w:snapToGrid w:val="0"/>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r>
              <w:rPr>
                <w:rFonts w:hint="eastAsia" w:ascii="仿宋" w:hAnsi="仿宋" w:eastAsia="仿宋" w:cs="仿宋"/>
                <w:b/>
                <w:bCs/>
                <w:kern w:val="0"/>
                <w:sz w:val="28"/>
                <w:szCs w:val="28"/>
              </w:rPr>
              <w:t>（不超过5项）</w:t>
            </w:r>
          </w:p>
          <w:p w14:paraId="6447A7D2">
            <w:pPr>
              <w:snapToGrid w:val="0"/>
              <w:spacing w:line="360" w:lineRule="auto"/>
              <w:rPr>
                <w:rFonts w:ascii="Times New Roman" w:hAnsi="Times New Roman" w:eastAsia="仿宋" w:cs="Times New Roman"/>
                <w:kern w:val="0"/>
                <w:sz w:val="28"/>
                <w:szCs w:val="24"/>
              </w:rPr>
            </w:pPr>
            <w:r>
              <w:rPr>
                <w:rFonts w:hint="eastAsia" w:ascii="仿宋" w:hAnsi="仿宋" w:eastAsia="仿宋" w:cs="仿宋"/>
                <w:kern w:val="0"/>
                <w:sz w:val="28"/>
                <w:szCs w:val="28"/>
              </w:rPr>
              <w:t>1.新能源</w:t>
            </w:r>
            <w:r>
              <w:rPr>
                <w:rFonts w:hint="eastAsia" w:ascii="Times New Roman" w:hAnsi="Times New Roman" w:eastAsia="仿宋" w:cs="Times New Roman"/>
                <w:kern w:val="0"/>
                <w:sz w:val="28"/>
                <w:szCs w:val="24"/>
              </w:rPr>
              <w:t>系统集成与架构设计</w:t>
            </w:r>
          </w:p>
          <w:p w14:paraId="2BFE018D">
            <w:pPr>
              <w:snapToGrid w:val="0"/>
              <w:spacing w:line="360" w:lineRule="auto"/>
              <w:rPr>
                <w:rFonts w:ascii="Times New Roman" w:hAnsi="Times New Roman" w:eastAsia="仿宋" w:cs="Times New Roman"/>
                <w:kern w:val="0"/>
                <w:sz w:val="28"/>
                <w:szCs w:val="24"/>
              </w:rPr>
            </w:pPr>
            <w:r>
              <w:rPr>
                <w:rFonts w:hint="eastAsia" w:ascii="仿宋" w:hAnsi="仿宋" w:eastAsia="仿宋" w:cs="仿宋"/>
                <w:kern w:val="0"/>
                <w:sz w:val="28"/>
                <w:szCs w:val="28"/>
              </w:rPr>
              <w:t>2.新能源</w:t>
            </w:r>
            <w:r>
              <w:rPr>
                <w:rFonts w:hint="eastAsia" w:ascii="Times New Roman" w:hAnsi="Times New Roman" w:eastAsia="仿宋" w:cs="Times New Roman"/>
                <w:kern w:val="0"/>
                <w:sz w:val="28"/>
                <w:szCs w:val="24"/>
              </w:rPr>
              <w:t>系统应用场景与案例研究</w:t>
            </w:r>
          </w:p>
          <w:p w14:paraId="4A8E4508">
            <w:pPr>
              <w:snapToGrid w:val="0"/>
              <w:spacing w:line="360" w:lineRule="auto"/>
              <w:rPr>
                <w:rFonts w:ascii="Times New Roman" w:hAnsi="Times New Roman" w:eastAsia="仿宋" w:cs="Times New Roman"/>
                <w:kern w:val="0"/>
                <w:sz w:val="28"/>
                <w:szCs w:val="24"/>
              </w:rPr>
            </w:pPr>
            <w:r>
              <w:rPr>
                <w:rFonts w:hint="eastAsia" w:ascii="仿宋" w:hAnsi="仿宋" w:eastAsia="仿宋" w:cs="仿宋"/>
                <w:kern w:val="0"/>
                <w:sz w:val="28"/>
                <w:szCs w:val="28"/>
              </w:rPr>
              <w:t>3.新能源</w:t>
            </w:r>
            <w:r>
              <w:rPr>
                <w:rFonts w:hint="eastAsia" w:ascii="Times New Roman" w:hAnsi="Times New Roman" w:eastAsia="仿宋" w:cs="Times New Roman"/>
                <w:kern w:val="0"/>
                <w:sz w:val="28"/>
                <w:szCs w:val="24"/>
              </w:rPr>
              <w:t>系统预测性维护与优化</w:t>
            </w:r>
          </w:p>
          <w:p w14:paraId="4EFB1055">
            <w:pPr>
              <w:snapToGrid w:val="0"/>
              <w:spacing w:line="312" w:lineRule="auto"/>
              <w:rPr>
                <w:rFonts w:hint="eastAsia" w:ascii="仿宋" w:hAnsi="仿宋" w:eastAsia="仿宋" w:cs="仿宋"/>
                <w:kern w:val="0"/>
                <w:sz w:val="24"/>
                <w:szCs w:val="24"/>
              </w:rPr>
            </w:pPr>
            <w:r>
              <w:rPr>
                <w:rFonts w:hint="eastAsia" w:ascii="仿宋" w:hAnsi="仿宋" w:eastAsia="仿宋" w:cs="仿宋"/>
                <w:kern w:val="0"/>
                <w:sz w:val="28"/>
                <w:szCs w:val="28"/>
              </w:rPr>
              <w:t>4.新能源</w:t>
            </w:r>
            <w:r>
              <w:rPr>
                <w:rFonts w:hint="eastAsia" w:ascii="Times New Roman" w:hAnsi="Times New Roman" w:eastAsia="仿宋" w:cs="Times New Roman"/>
                <w:kern w:val="0"/>
                <w:sz w:val="28"/>
                <w:szCs w:val="24"/>
              </w:rPr>
              <w:t>系统标准化与政策研究</w:t>
            </w:r>
          </w:p>
        </w:tc>
      </w:tr>
    </w:tbl>
    <w:p w14:paraId="5797E614">
      <w:pPr>
        <w:rPr>
          <w:rFonts w:hint="eastAsia" w:ascii="仿宋" w:hAnsi="仿宋" w:eastAsia="仿宋" w:cs="仿宋_GB2312"/>
          <w:sz w:val="32"/>
          <w:szCs w:val="32"/>
        </w:rPr>
      </w:pPr>
    </w:p>
    <w:p w14:paraId="426046E6">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028CBC40">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命题19（赛道四：双碳+设计与制造）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7"/>
      </w:tblGrid>
      <w:tr w14:paraId="6D72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7" w:type="dxa"/>
          </w:tcPr>
          <w:p w14:paraId="6C1E9CCB">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主题：绿色建筑（室内）与智慧科技</w:t>
            </w:r>
          </w:p>
        </w:tc>
      </w:tr>
      <w:tr w14:paraId="63EF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jc w:val="center"/>
        </w:trPr>
        <w:tc>
          <w:tcPr>
            <w:tcW w:w="8317" w:type="dxa"/>
          </w:tcPr>
          <w:p w14:paraId="4A2DCF0F">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5A6D5607">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建筑在中国社会总能耗中的占比可达到30%-40%，如何进行建筑的节能减排，是实现碳中和的重要问题。针对这一问题，需要通过提升建筑自身节能水平、优化建筑能源系统效率与增强建筑用能柔性调节能力等路径协同实现。其中，建筑用能的柔性调节主要是指建筑可以通过负荷转移、负荷中断及有效储能等方式改变自身用能曲线，提升与可再生能源发电曲线的时间匹配度，增加可再生能源的实际消纳，降低碳排放。随着信息科技的不断发展，如何利用当下的智慧技术，与绿色建筑技术进行交叉融合，创新性地解决建筑节能减排问题，从而实现建筑领域的“双碳”目标呢？</w:t>
            </w:r>
          </w:p>
          <w:p w14:paraId="2F8A33BE">
            <w:pPr>
              <w:spacing w:line="312" w:lineRule="auto"/>
              <w:ind w:firstLine="560" w:firstLineChars="200"/>
              <w:rPr>
                <w:rFonts w:hint="eastAsia" w:ascii="仿宋" w:hAnsi="仿宋" w:eastAsia="仿宋" w:cs="仿宋"/>
                <w:b/>
                <w:bCs/>
                <w:kern w:val="0"/>
                <w:sz w:val="32"/>
                <w:szCs w:val="32"/>
              </w:rPr>
            </w:pPr>
            <w:r>
              <w:rPr>
                <w:rFonts w:hint="eastAsia" w:ascii="仿宋" w:hAnsi="仿宋" w:eastAsia="仿宋" w:cs="仿宋"/>
                <w:kern w:val="0"/>
                <w:sz w:val="28"/>
                <w:szCs w:val="28"/>
              </w:rPr>
              <w:t>拟通过本主题，合众之力，结合智慧科技，推动绿色建筑技术的发展，帮助建筑节能减排问题的解决，助力零碳建筑的实现。</w:t>
            </w:r>
          </w:p>
        </w:tc>
      </w:tr>
      <w:tr w14:paraId="1C68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8317" w:type="dxa"/>
          </w:tcPr>
          <w:p w14:paraId="03A84369">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方向（设计需结合节能减排量化分析）</w:t>
            </w:r>
            <w:r>
              <w:rPr>
                <w:rFonts w:hint="eastAsia" w:ascii="仿宋" w:hAnsi="仿宋" w:eastAsia="仿宋" w:cs="仿宋"/>
                <w:b/>
                <w:bCs/>
                <w:kern w:val="0"/>
                <w:sz w:val="28"/>
                <w:szCs w:val="28"/>
                <w:lang w:val="zh-TW"/>
              </w:rPr>
              <w:t>：</w:t>
            </w:r>
          </w:p>
          <w:p w14:paraId="692EBB14">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1.智慧节能建筑</w:t>
            </w:r>
          </w:p>
          <w:p w14:paraId="40CBE75A">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2.建筑节能设备</w:t>
            </w:r>
          </w:p>
          <w:p w14:paraId="69772F8D">
            <w:pPr>
              <w:spacing w:line="312" w:lineRule="auto"/>
              <w:rPr>
                <w:rFonts w:hint="eastAsia" w:ascii="仿宋" w:hAnsi="仿宋" w:eastAsia="仿宋" w:cs="仿宋"/>
                <w:b/>
                <w:bCs/>
                <w:kern w:val="0"/>
                <w:sz w:val="32"/>
                <w:szCs w:val="32"/>
              </w:rPr>
            </w:pPr>
            <w:r>
              <w:rPr>
                <w:rFonts w:hint="eastAsia" w:ascii="仿宋" w:hAnsi="仿宋" w:eastAsia="仿宋" w:cs="仿宋"/>
                <w:kern w:val="0"/>
                <w:sz w:val="28"/>
                <w:szCs w:val="28"/>
              </w:rPr>
              <w:t>3.建筑内用能的柔性调节</w:t>
            </w:r>
          </w:p>
        </w:tc>
      </w:tr>
    </w:tbl>
    <w:p w14:paraId="600CE0AE">
      <w:pPr>
        <w:rPr>
          <w:rFonts w:hint="eastAsia" w:ascii="仿宋" w:hAnsi="仿宋" w:eastAsia="仿宋" w:cs="仿宋_GB2312"/>
          <w:sz w:val="32"/>
          <w:szCs w:val="32"/>
        </w:rPr>
      </w:pPr>
    </w:p>
    <w:p w14:paraId="69145A9C">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4CE505FC">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命题20（赛道四：双碳+设计与制造）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3270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0923834B">
            <w:pPr>
              <w:snapToGrid w:val="0"/>
              <w:spacing w:before="120" w:beforeLines="50" w:after="120" w:afterLines="50"/>
              <w:rPr>
                <w:rFonts w:hint="eastAsia" w:ascii="仿宋" w:hAnsi="仿宋" w:eastAsia="仿宋" w:cs="仿宋"/>
                <w:bCs/>
                <w:kern w:val="0"/>
                <w:sz w:val="32"/>
                <w:szCs w:val="32"/>
              </w:rPr>
            </w:pPr>
            <w:r>
              <w:rPr>
                <w:rFonts w:hint="eastAsia" w:ascii="仿宋" w:hAnsi="仿宋" w:eastAsia="仿宋" w:cs="仿宋"/>
                <w:b/>
                <w:bCs/>
                <w:kern w:val="0"/>
                <w:sz w:val="28"/>
                <w:szCs w:val="28"/>
              </w:rPr>
              <w:t>主题：低碳制造</w:t>
            </w:r>
          </w:p>
        </w:tc>
      </w:tr>
      <w:tr w14:paraId="5602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8220" w:type="dxa"/>
          </w:tcPr>
          <w:p w14:paraId="24BFB71A">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69E0241A">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实现双碳目标的策略，主要有三种：节能减排、能源替代、技术升级。各行各业节能减排是“碳达峰”的重要手段，而能源替代是“碳中和”的主要途径，技术升级则是“双碳”目标实现的关键。</w:t>
            </w:r>
          </w:p>
          <w:p w14:paraId="56D5FA79">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制造业是实现“双碳”目标的重要环节，我们提倡“低碳制造”。</w:t>
            </w:r>
          </w:p>
          <w:p w14:paraId="69F6C58D">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1.节能减排，建立产品全生命周期的碳排放模型，分析产品中的碳足迹和碳成本，从碳排放整体考虑优化产品的制造、流通等环节。</w:t>
            </w:r>
          </w:p>
          <w:p w14:paraId="3B05AB02">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2.能源替代，搭建绿色生产平台，比如使用太阳能、风能等新能源降低化石能源的消耗。</w:t>
            </w:r>
          </w:p>
          <w:p w14:paraId="637E3E12">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3.技术升级，采用数字化、机器人、人工智能、精益制造、增材制造（3D打印）等技术对制造生产中高能耗环节进行技术改造和升级，实现减碳的目的。</w:t>
            </w:r>
          </w:p>
          <w:p w14:paraId="7D202A47">
            <w:pPr>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制造业包含的行业范围很大，参赛者可以结合自己熟悉的行业，从节能减排、能源替代和技术升级三个方面进行创意设计，实现低碳制造。</w:t>
            </w:r>
          </w:p>
        </w:tc>
      </w:tr>
      <w:tr w14:paraId="0DB2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8220" w:type="dxa"/>
          </w:tcPr>
          <w:p w14:paraId="46B18B3B">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14:paraId="2437300D">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1.特定产品全生命周期过程中碳排量的统计、测量、定价方法，如碳足迹等</w:t>
            </w:r>
          </w:p>
          <w:p w14:paraId="743B1F7D">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2.特定制造行业的碳排放分析和优化技术</w:t>
            </w:r>
          </w:p>
          <w:p w14:paraId="1B33E42A">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3.特定制造行业绿色生产制造平台技术</w:t>
            </w:r>
          </w:p>
          <w:p w14:paraId="30C4EC83">
            <w:pPr>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4.特定制造环节技术升级及其碳排放消耗对比分析</w:t>
            </w:r>
          </w:p>
        </w:tc>
      </w:tr>
    </w:tbl>
    <w:p w14:paraId="04D518E0">
      <w:pPr>
        <w:jc w:val="center"/>
        <w:rPr>
          <w:rFonts w:hint="eastAsia" w:ascii="仿宋" w:hAnsi="仿宋" w:eastAsia="仿宋" w:cs="仿宋_GB2312"/>
          <w:b/>
          <w:bCs/>
          <w:sz w:val="32"/>
          <w:szCs w:val="32"/>
        </w:rPr>
      </w:pPr>
      <w:r>
        <w:rPr>
          <w:rFonts w:ascii="仿宋" w:hAnsi="仿宋" w:eastAsia="仿宋" w:cs="仿宋_GB2312"/>
          <w:sz w:val="32"/>
          <w:szCs w:val="32"/>
        </w:rPr>
        <w:br w:type="page"/>
      </w:r>
      <w:r>
        <w:rPr>
          <w:rFonts w:hint="eastAsia" w:ascii="仿宋" w:hAnsi="仿宋" w:eastAsia="仿宋" w:cs="仿宋_GB2312"/>
          <w:b/>
          <w:bCs/>
          <w:sz w:val="32"/>
          <w:szCs w:val="32"/>
        </w:rPr>
        <w:t>命题21（赛道四：双碳+设计与制造）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F6F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7E27FF05">
            <w:pPr>
              <w:snapToGrid w:val="0"/>
              <w:spacing w:before="120" w:beforeLines="50" w:after="120" w:afterLines="50"/>
              <w:rPr>
                <w:rFonts w:hint="eastAsia" w:ascii="仿宋" w:hAnsi="仿宋" w:eastAsia="仿宋" w:cs="仿宋"/>
                <w:kern w:val="0"/>
                <w:sz w:val="32"/>
                <w:szCs w:val="32"/>
              </w:rPr>
            </w:pPr>
            <w:r>
              <w:rPr>
                <w:rFonts w:hint="eastAsia" w:ascii="仿宋" w:hAnsi="仿宋" w:eastAsia="仿宋" w:cs="仿宋"/>
                <w:b/>
                <w:bCs/>
                <w:kern w:val="0"/>
                <w:sz w:val="28"/>
                <w:szCs w:val="28"/>
              </w:rPr>
              <w:t>主题：构筑智能化产品设计制造生产线</w:t>
            </w:r>
          </w:p>
        </w:tc>
      </w:tr>
      <w:tr w14:paraId="0868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8220" w:type="dxa"/>
          </w:tcPr>
          <w:p w14:paraId="4F8704F1">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09D5719D">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双碳达标与社会生产生活密切相关。工业社会之前人类的生产生活就是一种生态低碳的方式，工业革命导致大规模社会化大生产、同时也带来行业的细分，生活必备品的生产制造也失去了手工作坊的工匠劳作模式，如集“量体-打样-制作”为一体的裁缝制衣，变成了“服装设计-批量加工”的服装生产方式；“根据需求-就地取材-特色木工细活”的家具制作过程，变成了“家具设计-部件批量定制-集合装配”的家具生产工业；“因地制宜-因材就用-工匠砌筑-自然装饰”的自主建房途径，变成了“专业设计师设计-工厂构件加工-施工队现场施工”的大规模房屋建造工业。因此也带来了巨量能耗、环境污染、破坏生态、不可持续等等问题痼疾，当人类反思，如今渴望回归之前生态低碳的生产生活状态。</w:t>
            </w:r>
          </w:p>
          <w:p w14:paraId="5C744244">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新科学新技术的突飞猛进正在推动人类步入智能社会，智能技术有可能使人类重返通过“人力”来满足生产生活需求的社会，当然，这个人力是机器人的力量，智能系统及智能机器将彻底解放人类，它们将替代人类进行高效节能、精致高质、低碳环保的生产制造，人们又可以回到生态低碳的慢生活境地。这样，社会生产及社会生活将彻底结束高排放高耗能的时代，最终实现双碳达标。</w:t>
            </w:r>
          </w:p>
          <w:p w14:paraId="731F0750">
            <w:pPr>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为此，本赛题要求参赛者提交建设性方案，构筑智能化产品设计制造生产线，为即将到来的智能化生产生活社会进行积极的准备。参赛者可以从衣食住行任一行业出发，构想一条产品生产线，它应该基于智能技术、应该是某一生活必需品的设计制造全过程集约型生产线，它是一种新型的社会生产组织方式，是一种高效节能、生态环保的产品设计制造或设计建造工艺模式（设计需结合节能减排量化分析）。</w:t>
            </w:r>
          </w:p>
        </w:tc>
      </w:tr>
    </w:tbl>
    <w:p w14:paraId="2A6C0B0B">
      <w:pPr>
        <w:widowControl/>
        <w:jc w:val="left"/>
        <w:rPr>
          <w:rFonts w:hint="eastAsia" w:ascii="仿宋" w:hAnsi="仿宋" w:eastAsia="仿宋" w:cs="仿宋_GB2312"/>
          <w:sz w:val="32"/>
          <w:szCs w:val="32"/>
        </w:rPr>
      </w:pPr>
    </w:p>
    <w:p w14:paraId="0DF061B1">
      <w:pPr>
        <w:widowControl/>
        <w:jc w:val="left"/>
        <w:rPr>
          <w:rFonts w:hint="eastAsia" w:ascii="仿宋_GB2312" w:hAnsi="仿宋_GB2312" w:eastAsia="仿宋_GB2312" w:cs="仿宋_GB2312"/>
          <w:b/>
          <w:bCs/>
          <w:sz w:val="36"/>
          <w:szCs w:val="36"/>
        </w:rPr>
      </w:pPr>
      <w:r>
        <w:rPr>
          <w:rFonts w:ascii="仿宋_GB2312" w:hAnsi="仿宋_GB2312" w:eastAsia="仿宋_GB2312" w:cs="仿宋_GB2312"/>
          <w:b/>
          <w:bCs/>
          <w:sz w:val="36"/>
          <w:szCs w:val="36"/>
        </w:rPr>
        <w:br w:type="page"/>
      </w:r>
    </w:p>
    <w:p w14:paraId="59E07BB8">
      <w:pPr>
        <w:snapToGrid w:val="0"/>
        <w:spacing w:before="120" w:beforeLines="50" w:after="120" w:afterLines="50" w:line="500" w:lineRule="exact"/>
        <w:jc w:val="center"/>
        <w:rPr>
          <w:rFonts w:hint="eastAsia" w:ascii="仿宋_GB2312" w:hAnsi="仿宋_GB2312" w:eastAsia="仿宋_GB2312" w:cs="仿宋_GB2312"/>
          <w:b/>
          <w:bCs/>
          <w:sz w:val="36"/>
          <w:szCs w:val="36"/>
        </w:rPr>
      </w:pPr>
      <w:bookmarkStart w:id="3" w:name="_Hlk137116890"/>
      <w:r>
        <w:rPr>
          <w:rFonts w:hint="eastAsia" w:ascii="仿宋" w:hAnsi="仿宋" w:eastAsia="仿宋" w:cs="仿宋_GB2312"/>
          <w:b/>
          <w:bCs/>
          <w:sz w:val="32"/>
          <w:szCs w:val="32"/>
        </w:rPr>
        <w:t>命题22（赛道四：双碳+设计与制造）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E63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13F7396F">
            <w:pPr>
              <w:snapToGrid w:val="0"/>
              <w:spacing w:before="120" w:beforeLines="50" w:after="120" w:afterLines="50"/>
              <w:rPr>
                <w:rFonts w:hint="eastAsia" w:ascii="仿宋" w:hAnsi="仿宋" w:eastAsia="仿宋" w:cs="宋体"/>
                <w:b/>
                <w:bCs/>
                <w:kern w:val="0"/>
                <w:sz w:val="28"/>
                <w:szCs w:val="28"/>
              </w:rPr>
            </w:pPr>
            <w:r>
              <w:rPr>
                <w:rFonts w:hint="eastAsia" w:ascii="仿宋" w:hAnsi="仿宋" w:eastAsia="仿宋" w:cs="仿宋"/>
                <w:b/>
                <w:bCs/>
                <w:kern w:val="0"/>
                <w:sz w:val="28"/>
                <w:szCs w:val="28"/>
              </w:rPr>
              <w:t>主题：</w:t>
            </w:r>
            <w:bookmarkStart w:id="4" w:name="_Hlk137217351"/>
            <w:r>
              <w:rPr>
                <w:rFonts w:hint="eastAsia" w:ascii="仿宋" w:hAnsi="仿宋" w:eastAsia="仿宋" w:cs="仿宋"/>
                <w:b/>
                <w:bCs/>
                <w:kern w:val="0"/>
                <w:sz w:val="28"/>
                <w:szCs w:val="28"/>
              </w:rPr>
              <w:t>面向制冷系统节能低碳的新型装备设计与开发</w:t>
            </w:r>
            <w:bookmarkEnd w:id="4"/>
          </w:p>
        </w:tc>
      </w:tr>
      <w:tr w14:paraId="1A8B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1" w:hRule="atLeast"/>
          <w:jc w:val="center"/>
        </w:trPr>
        <w:tc>
          <w:tcPr>
            <w:tcW w:w="8220" w:type="dxa"/>
          </w:tcPr>
          <w:p w14:paraId="080CB2E0">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6A36DE84">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建筑碳排放来源统计显示，暖通空调系统能耗占建筑总能耗的50％以上，约占社会总能耗20％以上，制冷行业的发展与空调的大面积应用造成的整体能耗水平也在不断提高，实现制冷空调行业的碳达峰乃至碳中和面临巨大挑战，同时，从整个行业生命周期的角度去分析减碳过程也至关重要。</w:t>
            </w:r>
          </w:p>
          <w:p w14:paraId="56034F0F">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大幅度提升产品和系统能效，是多年来制冷行业重点开展的节能工作之一。制冷空调设备常见的换热部件包括蒸发器、冷凝器、过冷器、中间换热器等，换热设备的传热特性对制冷空调设备的整机性能具有重要的影响。通过传热机理及强化传热的研究，开发高效、紧凑、重量轻、可靠性高、经济性好的新型换热器、实现制冷剂的绿色替代，以及提升制冷系统实际运行能效是当前制冷行业围绕“双碳”目标开展研究的重点工作。</w:t>
            </w:r>
          </w:p>
          <w:p w14:paraId="57FCDBDF">
            <w:pPr>
              <w:spacing w:line="312" w:lineRule="auto"/>
              <w:ind w:firstLine="560" w:firstLineChars="200"/>
              <w:rPr>
                <w:rFonts w:hint="eastAsia" w:ascii="仿宋" w:hAnsi="仿宋" w:eastAsia="仿宋" w:cs="宋体"/>
                <w:kern w:val="0"/>
                <w:sz w:val="32"/>
                <w:szCs w:val="32"/>
              </w:rPr>
            </w:pPr>
            <w:r>
              <w:rPr>
                <w:rFonts w:hint="eastAsia" w:ascii="仿宋" w:hAnsi="仿宋" w:eastAsia="仿宋" w:cs="仿宋"/>
                <w:kern w:val="0"/>
                <w:sz w:val="28"/>
                <w:szCs w:val="28"/>
              </w:rPr>
              <w:t>拟通过本主题，合众之力，结合材料创新与节能科技，探讨制冷空调行业节能减排、助力“碳中和”的发展路线，推动行业低能耗和低碳技术的发展。</w:t>
            </w:r>
          </w:p>
        </w:tc>
      </w:tr>
      <w:tr w14:paraId="44CD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220" w:type="dxa"/>
          </w:tcPr>
          <w:p w14:paraId="048F9E3D">
            <w:pPr>
              <w:spacing w:before="120" w:beforeLines="50" w:after="120" w:afterLines="50"/>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w:t>
            </w:r>
            <w:r>
              <w:rPr>
                <w:rFonts w:hint="eastAsia" w:ascii="仿宋" w:hAnsi="仿宋" w:eastAsia="仿宋" w:cs="仿宋"/>
                <w:b/>
                <w:bCs/>
                <w:kern w:val="0"/>
                <w:sz w:val="28"/>
                <w:szCs w:val="28"/>
                <w:lang w:val="zh-TW"/>
              </w:rPr>
              <w:t>方向</w:t>
            </w:r>
            <w:r>
              <w:rPr>
                <w:rFonts w:hint="eastAsia" w:ascii="仿宋" w:hAnsi="仿宋" w:eastAsia="仿宋" w:cs="仿宋"/>
                <w:b/>
                <w:bCs/>
                <w:kern w:val="0"/>
                <w:sz w:val="28"/>
                <w:szCs w:val="28"/>
                <w:lang w:val="zh-TW" w:eastAsia="zh-TW"/>
              </w:rPr>
              <w:t>：</w:t>
            </w:r>
          </w:p>
          <w:p w14:paraId="14B63339">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1.高效冷凝器/蒸发器设计与研发</w:t>
            </w:r>
          </w:p>
          <w:p w14:paraId="2CD7D9DD">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2.新型绿色工质的研发与应用</w:t>
            </w:r>
          </w:p>
          <w:p w14:paraId="6FCDCA0D">
            <w:pPr>
              <w:spacing w:line="312" w:lineRule="auto"/>
              <w:rPr>
                <w:rFonts w:hint="eastAsia" w:ascii="仿宋" w:hAnsi="仿宋" w:eastAsia="仿宋" w:cs="宋体"/>
                <w:bCs/>
                <w:kern w:val="0"/>
                <w:sz w:val="32"/>
                <w:szCs w:val="32"/>
              </w:rPr>
            </w:pPr>
            <w:r>
              <w:rPr>
                <w:rFonts w:hint="eastAsia" w:ascii="仿宋" w:hAnsi="仿宋" w:eastAsia="仿宋" w:cs="仿宋"/>
                <w:kern w:val="0"/>
                <w:sz w:val="28"/>
                <w:szCs w:val="28"/>
              </w:rPr>
              <w:t>3.制冷系统节能低碳优化设计及能效提升</w:t>
            </w:r>
          </w:p>
        </w:tc>
      </w:tr>
      <w:bookmarkEnd w:id="3"/>
    </w:tbl>
    <w:p w14:paraId="1074458F"/>
    <w:p w14:paraId="579D44C8">
      <w:pPr>
        <w:rPr>
          <w:rFonts w:hint="eastAsia" w:ascii="仿宋" w:hAnsi="仿宋" w:eastAsia="仿宋" w:cs="仿宋_GB2312"/>
          <w:b/>
          <w:bCs/>
          <w:sz w:val="32"/>
          <w:szCs w:val="32"/>
        </w:rPr>
      </w:pPr>
      <w:r>
        <w:rPr>
          <w:rFonts w:hint="eastAsia" w:ascii="仿宋" w:hAnsi="仿宋" w:eastAsia="仿宋" w:cs="仿宋_GB2312"/>
          <w:b/>
          <w:bCs/>
          <w:sz w:val="32"/>
          <w:szCs w:val="32"/>
        </w:rPr>
        <w:br w:type="page"/>
      </w:r>
    </w:p>
    <w:p w14:paraId="47649196">
      <w:pPr>
        <w:snapToGrid w:val="0"/>
        <w:spacing w:before="120" w:beforeLines="50" w:after="120" w:afterLines="50" w:line="500" w:lineRule="exact"/>
        <w:jc w:val="center"/>
        <w:rPr>
          <w:rFonts w:hint="eastAsia" w:ascii="仿宋" w:hAnsi="仿宋" w:eastAsia="仿宋" w:cs="仿宋_GB2312"/>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3（赛道五：双碳+低碳生活与生命健康）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F84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7831F4AA">
            <w:pPr>
              <w:snapToGrid w:val="0"/>
              <w:spacing w:line="580" w:lineRule="exact"/>
              <w:rPr>
                <w:rFonts w:hint="eastAsia" w:ascii="仿宋" w:hAnsi="仿宋" w:eastAsia="仿宋" w:cs="仿宋"/>
                <w:kern w:val="0"/>
                <w:sz w:val="32"/>
                <w:szCs w:val="32"/>
              </w:rPr>
            </w:pPr>
            <w:r>
              <w:rPr>
                <w:rFonts w:hint="eastAsia" w:ascii="仿宋" w:hAnsi="仿宋" w:eastAsia="仿宋" w:cs="仿宋"/>
                <w:b/>
                <w:bCs/>
                <w:kern w:val="0"/>
                <w:sz w:val="28"/>
                <w:szCs w:val="28"/>
              </w:rPr>
              <w:t>主题：超特大城市脱碳技术与路径选择</w:t>
            </w:r>
          </w:p>
        </w:tc>
      </w:tr>
      <w:tr w14:paraId="3AE8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7B027229">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27E297DE">
            <w:pPr>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城市是实现碳达峰、碳中和目标的主战场，目前承载中国60%的常住人口，碳排放量占中国排放总量的70%以上。然而，目前城市在实现碳达峰、碳中和上仍面临较多限制，包括空间制约、能源制约、环境制约、技术制约等多种制约因素，缺乏强有力的科技支撑与政策引导。本主题以中国超特大城市人为源碳排放演变路径与重点行业碳代谢驱动因素为切入点，探索建立中国超特大城市碳代谢驱动因素评估和碳中和路径规划的系统性技术评估框架，针对城市不同部门尤其是对城市碳排放贡献最大的行业部门开展脱碳技术与路径选择研究，探索超特大城市减污降碳协同增效的可行性道路。如何利用环境系统建模、建筑群用能建模、大数据挖掘与数值模拟算法，实现对超特大城市基础设施碳代谢精准建模表征与系统性量化分析，辅以城市碳监测评估方案，开展城市脱碳技术与路径选择研究，建立支撑超特大城市实现双碳目标的系统性解决方案。</w:t>
            </w:r>
          </w:p>
        </w:tc>
      </w:tr>
      <w:tr w14:paraId="29B0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220" w:type="dxa"/>
          </w:tcPr>
          <w:p w14:paraId="1131C1B7">
            <w:pPr>
              <w:spacing w:before="120" w:beforeLines="50" w:after="120" w:afterLines="50"/>
              <w:rPr>
                <w:rFonts w:hint="eastAsia" w:ascii="仿宋" w:hAnsi="仿宋" w:eastAsia="仿宋" w:cs="仿宋"/>
                <w:b/>
                <w:bCs/>
                <w:kern w:val="0"/>
                <w:sz w:val="28"/>
                <w:szCs w:val="28"/>
                <w:lang w:val="zh-TW" w:eastAsia="zh-TW"/>
              </w:rPr>
            </w:pPr>
            <w:r>
              <w:rPr>
                <w:rFonts w:hint="eastAsia" w:ascii="仿宋" w:hAnsi="仿宋" w:eastAsia="仿宋" w:cs="仿宋"/>
                <w:b/>
                <w:bCs/>
                <w:kern w:val="0"/>
                <w:sz w:val="28"/>
                <w:szCs w:val="28"/>
                <w:lang w:val="zh-TW" w:eastAsia="zh-TW"/>
              </w:rPr>
              <w:t>关注方向：</w:t>
            </w:r>
          </w:p>
          <w:p w14:paraId="3CE136D0">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1.超特大城市空间人口结构、经济发展对碳减排影响</w:t>
            </w:r>
          </w:p>
          <w:p w14:paraId="27009F48">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2.城市碳代谢</w:t>
            </w:r>
          </w:p>
          <w:p w14:paraId="5DEB5F34">
            <w:pPr>
              <w:spacing w:line="312" w:lineRule="auto"/>
              <w:rPr>
                <w:rFonts w:hint="eastAsia" w:ascii="仿宋" w:hAnsi="仿宋" w:eastAsia="仿宋" w:cs="仿宋"/>
                <w:b/>
                <w:bCs/>
                <w:kern w:val="0"/>
                <w:sz w:val="32"/>
                <w:szCs w:val="32"/>
              </w:rPr>
            </w:pPr>
            <w:r>
              <w:rPr>
                <w:rFonts w:hint="eastAsia" w:ascii="仿宋" w:hAnsi="仿宋" w:eastAsia="仿宋" w:cs="仿宋"/>
                <w:kern w:val="0"/>
                <w:sz w:val="28"/>
                <w:szCs w:val="28"/>
              </w:rPr>
              <w:t>3.脱碳技术路径</w:t>
            </w:r>
          </w:p>
        </w:tc>
      </w:tr>
    </w:tbl>
    <w:p w14:paraId="6558A975">
      <w:pPr>
        <w:spacing w:line="312" w:lineRule="auto"/>
        <w:ind w:firstLine="562" w:firstLineChars="200"/>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kern w:val="0"/>
          <w:sz w:val="28"/>
          <w:szCs w:val="28"/>
        </w:rPr>
        <w:t>根据国务院于2014年下发的《关于调整城市规模划分标准的通知》，城区常住人口1000万以上的城市为超大城市，城区常住人口500万以上1000万以下的城市为特大城市。</w:t>
      </w:r>
    </w:p>
    <w:p w14:paraId="1569E17F">
      <w:pPr>
        <w:snapToGrid w:val="0"/>
        <w:spacing w:line="580" w:lineRule="exact"/>
        <w:jc w:val="center"/>
        <w:rPr>
          <w:rFonts w:hint="eastAsia" w:ascii="仿宋" w:hAnsi="仿宋" w:eastAsia="仿宋" w:cs="仿宋_GB2312"/>
          <w:b/>
          <w:bCs/>
          <w:sz w:val="32"/>
          <w:szCs w:val="32"/>
        </w:rPr>
      </w:pPr>
    </w:p>
    <w:p w14:paraId="19FC7F82">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06B464D0">
      <w:pPr>
        <w:snapToGrid w:val="0"/>
        <w:spacing w:before="120" w:beforeLines="50" w:after="120" w:afterLines="50" w:line="500" w:lineRule="exact"/>
        <w:jc w:val="center"/>
        <w:rPr>
          <w:rFonts w:hint="eastAsia" w:ascii="仿宋" w:hAnsi="仿宋" w:eastAsia="仿宋"/>
          <w:sz w:val="32"/>
          <w:szCs w:val="32"/>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4（赛道五：双碳+低碳生活与生命健康）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B2A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tcPr>
          <w:p w14:paraId="518C3715">
            <w:pPr>
              <w:snapToGrid w:val="0"/>
              <w:spacing w:line="580" w:lineRule="exact"/>
              <w:rPr>
                <w:rFonts w:hint="eastAsia" w:ascii="仿宋" w:hAnsi="仿宋" w:eastAsia="仿宋" w:cs="仿宋"/>
                <w:b/>
                <w:bCs/>
                <w:kern w:val="0"/>
                <w:sz w:val="32"/>
                <w:szCs w:val="32"/>
              </w:rPr>
            </w:pPr>
            <w:r>
              <w:rPr>
                <w:rFonts w:hint="eastAsia" w:ascii="仿宋" w:hAnsi="仿宋" w:eastAsia="仿宋" w:cs="仿宋"/>
                <w:b/>
                <w:bCs/>
                <w:kern w:val="0"/>
                <w:sz w:val="28"/>
                <w:szCs w:val="28"/>
              </w:rPr>
              <w:t>主题：城市低碳建筑能源数字化转型技术</w:t>
            </w:r>
          </w:p>
        </w:tc>
      </w:tr>
      <w:tr w14:paraId="5880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8220" w:type="dxa"/>
            <w:tcBorders>
              <w:top w:val="single" w:color="auto" w:sz="4" w:space="0"/>
              <w:left w:val="single" w:color="auto" w:sz="4" w:space="0"/>
              <w:bottom w:val="single" w:color="auto" w:sz="4" w:space="0"/>
              <w:right w:val="single" w:color="auto" w:sz="4" w:space="0"/>
            </w:tcBorders>
          </w:tcPr>
          <w:p w14:paraId="67E757D2">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背景情况概述：</w:t>
            </w:r>
          </w:p>
          <w:p w14:paraId="3120F5BF">
            <w:pPr>
              <w:spacing w:line="312" w:lineRule="auto"/>
              <w:ind w:firstLine="560" w:firstLineChars="200"/>
              <w:rPr>
                <w:rFonts w:hint="eastAsia" w:ascii="仿宋" w:hAnsi="仿宋" w:eastAsia="仿宋" w:cs="仿宋"/>
                <w:b/>
                <w:bCs/>
                <w:kern w:val="0"/>
                <w:sz w:val="32"/>
                <w:szCs w:val="32"/>
              </w:rPr>
            </w:pPr>
            <w:r>
              <w:rPr>
                <w:rFonts w:hint="eastAsia" w:ascii="仿宋" w:hAnsi="仿宋" w:eastAsia="仿宋" w:cs="仿宋"/>
                <w:kern w:val="0"/>
                <w:sz w:val="28"/>
                <w:szCs w:val="28"/>
              </w:rPr>
              <w:t>城市低碳建筑能源数字化转型是实现“双碳”目标的必要引擎。在此背景下，全国各地陆续提出低碳能源因地制宜的政策，旨在将建筑能源与5G、物联网、大数据、人工智能等新兴的数字化技术相结合，建设低碳建筑能源。近些年，随着低碳建筑能源领域目标客户数量的不断激增，我国低碳建筑能源领域的市场规模增长迅速，预计2022年国内低碳建筑能源市场规模将超过2000亿元。然而，当前我国低碳建筑能源数字化技术尚存在缺口，普遍表现为碳减排优化粗、碳数据融合低、碳评估审计差等问题，且核心技术主要依赖国外进口。如何依赖数字孪生、云计算、大数据、人工智能等新兴技术，实现在云平台虚拟映射建筑能源；同时如何在云端管理各类数据，让耗能、碳排放以数字化的方式呈现在建筑运营者和管理者面前，是目前所关注的关键问题。</w:t>
            </w:r>
          </w:p>
        </w:tc>
      </w:tr>
      <w:tr w14:paraId="78E8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8220" w:type="dxa"/>
            <w:tcBorders>
              <w:top w:val="single" w:color="auto" w:sz="4" w:space="0"/>
              <w:left w:val="single" w:color="auto" w:sz="4" w:space="0"/>
              <w:bottom w:val="single" w:color="auto" w:sz="4" w:space="0"/>
              <w:right w:val="single" w:color="auto" w:sz="4" w:space="0"/>
            </w:tcBorders>
          </w:tcPr>
          <w:p w14:paraId="5200AA36">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关注方向：</w:t>
            </w:r>
          </w:p>
          <w:p w14:paraId="7E8EAC8F">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1.低碳建筑能源解决方案</w:t>
            </w:r>
          </w:p>
          <w:p w14:paraId="427EED13">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2.建筑能源系统数字孪生技术</w:t>
            </w:r>
          </w:p>
          <w:p w14:paraId="1A59C6F3">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3.建筑能源碳评估、碳管理技术</w:t>
            </w:r>
          </w:p>
          <w:p w14:paraId="013211FA">
            <w:pPr>
              <w:spacing w:line="312" w:lineRule="auto"/>
              <w:rPr>
                <w:rFonts w:hint="eastAsia" w:ascii="仿宋" w:hAnsi="仿宋" w:eastAsia="仿宋" w:cs="仿宋"/>
                <w:b/>
                <w:bCs/>
                <w:kern w:val="0"/>
                <w:sz w:val="32"/>
                <w:szCs w:val="32"/>
              </w:rPr>
            </w:pPr>
            <w:r>
              <w:rPr>
                <w:rFonts w:hint="eastAsia" w:ascii="仿宋" w:hAnsi="仿宋" w:eastAsia="仿宋" w:cs="仿宋"/>
                <w:kern w:val="0"/>
                <w:sz w:val="28"/>
                <w:szCs w:val="28"/>
              </w:rPr>
              <w:t>4.低碳建筑能源数字化转型技术</w:t>
            </w:r>
          </w:p>
        </w:tc>
      </w:tr>
    </w:tbl>
    <w:p w14:paraId="03A09957">
      <w:pPr>
        <w:snapToGrid w:val="0"/>
        <w:spacing w:before="120" w:beforeLines="50" w:after="120" w:afterLines="50" w:line="500" w:lineRule="exact"/>
        <w:jc w:val="center"/>
        <w:rPr>
          <w:rStyle w:val="7"/>
          <w:rFonts w:hint="eastAsia" w:ascii="仿宋" w:hAnsi="仿宋" w:eastAsia="仿宋" w:cs="Microsoft YaHei UI"/>
          <w:spacing w:val="15"/>
          <w:sz w:val="32"/>
          <w:szCs w:val="32"/>
          <w:shd w:val="clear" w:color="auto" w:fill="FFFFFF"/>
        </w:rPr>
      </w:pPr>
      <w:r>
        <w:rPr>
          <w:rFonts w:ascii="仿宋" w:hAnsi="仿宋" w:eastAsia="仿宋"/>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5（赛道五：双碳+低碳生活与生命健康）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56B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43274ABD">
            <w:pPr>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主题：面向双碳目标的纺织服装企业技术、产业链联动及社会责任履行</w:t>
            </w:r>
          </w:p>
        </w:tc>
      </w:tr>
      <w:tr w14:paraId="512A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0703F715">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E2A8A24">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中国作为发展中国家，实现全面绿色转型的基础较为薄弱，实现“双碳目标”时间紧、幅度大、困难多，但这一过程必将产生技术突破，催生新的产业、商业模式，更多的企业也将通过积极履行企业社会责任和践行绿色发展道路在资本市场和消费市场得到更多的市场认可。</w:t>
            </w:r>
          </w:p>
          <w:p w14:paraId="010252AF">
            <w:pPr>
              <w:spacing w:line="312" w:lineRule="auto"/>
              <w:ind w:firstLine="560" w:firstLineChars="200"/>
              <w:rPr>
                <w:rFonts w:hint="eastAsia" w:ascii="仿宋" w:hAnsi="仿宋" w:eastAsia="仿宋" w:cs="仿宋"/>
                <w:kern w:val="0"/>
                <w:sz w:val="32"/>
                <w:szCs w:val="32"/>
                <w:lang w:bidi="ar"/>
              </w:rPr>
            </w:pPr>
            <w:r>
              <w:rPr>
                <w:rFonts w:hint="eastAsia" w:ascii="仿宋" w:hAnsi="仿宋" w:eastAsia="仿宋" w:cs="仿宋"/>
                <w:kern w:val="0"/>
                <w:sz w:val="28"/>
                <w:szCs w:val="28"/>
              </w:rPr>
              <w:t>纺织服装行业作为传统消费品行业，国内市场规模超过2万亿元，114家上市公司总市值近8000亿元，因此该行业如何履行社会责任，促进“双碳”目标达成，对于我国经济转型和生态文明建设具有重要意义。从合成纤维回收、聚乳酸等可回收材料的应用开发、再生纤维素纤维的差异化、绿色生产转型（光伏供能、中水回用、零污染排放等）、碳中和产品开发和认证，到低碳产品营销、低碳供应链认证体系开发、消费者绿色积分，再到绿色供应链金融项目、双碳项目投融资等，通过打通全行业信息、资金、技术、产品、物料，将在满足人民群众日益增长的美好生活需要的同时，实现可持续发展和双碳目标。</w:t>
            </w:r>
          </w:p>
        </w:tc>
      </w:tr>
      <w:tr w14:paraId="075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70528D28">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29FE3D21">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1.主要原材料（例：聚酯纤维）的可回收技术开发以及经济性分析</w:t>
            </w:r>
          </w:p>
          <w:p w14:paraId="197BEFBC">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2.基于BSI碳足迹认证（CFV）进行某款碳中和产品的开发（包括技术路线、碳足迹核算、认证申请等）</w:t>
            </w:r>
          </w:p>
          <w:p w14:paraId="42A8C37B">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3.基于双碳目标构建中国特色社会主义“绿色供应链”认证体系，并开展供应链双碳审计</w:t>
            </w:r>
          </w:p>
          <w:p w14:paraId="5F602AC3">
            <w:pPr>
              <w:spacing w:line="312" w:lineRule="auto"/>
              <w:rPr>
                <w:rFonts w:hint="eastAsia" w:ascii="仿宋" w:hAnsi="仿宋" w:eastAsia="仿宋" w:cs="仿宋"/>
                <w:kern w:val="0"/>
                <w:sz w:val="32"/>
                <w:szCs w:val="32"/>
                <w:lang w:bidi="ar"/>
              </w:rPr>
            </w:pPr>
            <w:r>
              <w:rPr>
                <w:rFonts w:hint="eastAsia" w:ascii="仿宋" w:hAnsi="仿宋" w:eastAsia="仿宋" w:cs="仿宋"/>
                <w:kern w:val="0"/>
                <w:sz w:val="28"/>
                <w:szCs w:val="28"/>
              </w:rPr>
              <w:t>4.基于消费者需求、用户画像等大数据分析，开展“低碳消费”、“碳中和产品”相关营销策划</w:t>
            </w:r>
          </w:p>
        </w:tc>
      </w:tr>
    </w:tbl>
    <w:p w14:paraId="6FCF46AF">
      <w:pPr>
        <w:rPr>
          <w:rFonts w:hint="eastAsia" w:ascii="仿宋" w:hAnsi="仿宋" w:eastAsia="仿宋"/>
          <w:sz w:val="32"/>
          <w:szCs w:val="32"/>
        </w:rPr>
      </w:pPr>
      <w:r>
        <w:rPr>
          <w:rFonts w:ascii="仿宋" w:hAnsi="仿宋" w:eastAsia="仿宋"/>
          <w:sz w:val="32"/>
          <w:szCs w:val="32"/>
        </w:rPr>
        <w:br w:type="page"/>
      </w:r>
    </w:p>
    <w:p w14:paraId="7DD787A1">
      <w:pPr>
        <w:snapToGrid w:val="0"/>
        <w:spacing w:before="120" w:beforeLines="50" w:after="120" w:afterLines="50" w:line="500" w:lineRule="exact"/>
        <w:jc w:val="center"/>
        <w:rPr>
          <w:rStyle w:val="7"/>
          <w:rFonts w:hint="eastAsia" w:ascii="仿宋" w:hAnsi="仿宋" w:eastAsia="仿宋" w:cs="Microsoft YaHei UI"/>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6（赛道五：双碳+低碳生活与生命健康）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F84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507B2698">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主题：双碳战略与智能交通</w:t>
            </w:r>
          </w:p>
        </w:tc>
      </w:tr>
      <w:tr w14:paraId="423E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9" w:hRule="atLeast"/>
          <w:jc w:val="center"/>
        </w:trPr>
        <w:tc>
          <w:tcPr>
            <w:tcW w:w="8220" w:type="dxa"/>
          </w:tcPr>
          <w:p w14:paraId="39294727">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7F9B7A28">
            <w:pPr>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2021年10月24日，中共中央、国务院印发《关于完整准确全面贯彻新发展理念做好碳达峰碳中和工作的意见》。意见第六条明确提出“加快推进低碳交通运输体系建设”。根据交通部数据显示，我国每年因交通拥堵带来的经济损失高达城市人口可支配收入的20%，2020年我国交通领域碳排放9.3亿吨，占全国终端碳排放的15%，其中道路交通碳排放占90%。以上充分说明我国在交通减排方面大有可为。在此背景下，我国的交通模式已开启绿色低碳转型，开展智慧交通建设，通过实时监测交通流量、拥堵指数、延误指数等，减少交通拥堵，提升通行效率，进而减少碳排放。同时，我国还可通过推广节能低碳可网联的交通工具，加快发展新能源和清洁能源网联车船，推广智能交通工具，做到更优质的车路协同。</w:t>
            </w:r>
          </w:p>
          <w:p w14:paraId="0AAA4C51">
            <w:pPr>
              <w:spacing w:line="312" w:lineRule="auto"/>
              <w:ind w:firstLine="560" w:firstLineChars="200"/>
              <w:rPr>
                <w:rFonts w:hint="eastAsia" w:ascii="仿宋" w:hAnsi="仿宋" w:eastAsia="仿宋" w:cs="仿宋"/>
                <w:b/>
                <w:bCs/>
                <w:kern w:val="0"/>
                <w:sz w:val="32"/>
                <w:szCs w:val="32"/>
              </w:rPr>
            </w:pPr>
            <w:r>
              <w:rPr>
                <w:rFonts w:hint="eastAsia" w:ascii="仿宋" w:hAnsi="仿宋" w:eastAsia="仿宋" w:cs="仿宋"/>
                <w:kern w:val="0"/>
                <w:sz w:val="28"/>
                <w:szCs w:val="28"/>
              </w:rPr>
              <w:t>拟通过本主题，利用智能交通和自动驾驶技术和体系，推动交通碳排放精准测算，应用新技术促进交通减排，助力双碳目标实现。</w:t>
            </w:r>
          </w:p>
        </w:tc>
      </w:tr>
      <w:tr w14:paraId="15DA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8220" w:type="dxa"/>
          </w:tcPr>
          <w:p w14:paraId="713254EE">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32F1334F">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1.交通碳排放精准核算和交叉验证</w:t>
            </w:r>
          </w:p>
          <w:p w14:paraId="6A4A397C">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2.大规模电动车智能有序充电</w:t>
            </w:r>
          </w:p>
          <w:p w14:paraId="3C8C3771">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3.引导低碳出行的激励机制设计</w:t>
            </w:r>
          </w:p>
          <w:p w14:paraId="6A37CB61">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4.共享出行的碳减排测算</w:t>
            </w:r>
          </w:p>
          <w:p w14:paraId="79824690">
            <w:pPr>
              <w:spacing w:line="312" w:lineRule="auto"/>
              <w:rPr>
                <w:rFonts w:hint="eastAsia" w:ascii="仿宋" w:hAnsi="仿宋" w:eastAsia="仿宋" w:cs="仿宋"/>
                <w:b/>
                <w:bCs/>
                <w:kern w:val="0"/>
                <w:sz w:val="32"/>
                <w:szCs w:val="32"/>
              </w:rPr>
            </w:pPr>
            <w:r>
              <w:rPr>
                <w:rFonts w:hint="eastAsia" w:ascii="仿宋" w:hAnsi="仿宋" w:eastAsia="仿宋" w:cs="仿宋"/>
                <w:kern w:val="0"/>
                <w:sz w:val="28"/>
                <w:szCs w:val="28"/>
              </w:rPr>
              <w:t>5.基于车路协同的节能车速诱导</w:t>
            </w:r>
          </w:p>
        </w:tc>
      </w:tr>
    </w:tbl>
    <w:p w14:paraId="69098367">
      <w:pPr>
        <w:jc w:val="center"/>
        <w:rPr>
          <w:rStyle w:val="7"/>
          <w:rFonts w:hint="eastAsia" w:ascii="仿宋" w:hAnsi="仿宋" w:eastAsia="仿宋" w:cs="Microsoft YaHei UI"/>
          <w:spacing w:val="15"/>
          <w:sz w:val="32"/>
          <w:szCs w:val="32"/>
          <w:shd w:val="clear" w:color="auto" w:fill="FFFFFF"/>
        </w:rPr>
      </w:pPr>
      <w:r>
        <w:rPr>
          <w:rFonts w:ascii="仿宋" w:hAnsi="仿宋" w:eastAsia="仿宋"/>
          <w:sz w:val="32"/>
          <w:szCs w:val="32"/>
        </w:rPr>
        <w:br w:type="page"/>
      </w: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7（赛道六：双碳+政策、机制与体系创新）</w:t>
      </w:r>
    </w:p>
    <w:p w14:paraId="2D02F89C">
      <w:pPr>
        <w:spacing w:line="155" w:lineRule="exact"/>
        <w:rPr>
          <w:rFonts w:hint="eastAsia" w:ascii="仿宋" w:hAnsi="仿宋" w:eastAsia="仿宋"/>
          <w:sz w:val="32"/>
          <w:szCs w:val="32"/>
        </w:rPr>
      </w:pPr>
    </w:p>
    <w:tbl>
      <w:tblPr>
        <w:tblStyle w:val="8"/>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14:paraId="6749C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226" w:type="dxa"/>
            <w:tcBorders>
              <w:bottom w:val="single" w:color="auto" w:sz="4" w:space="0"/>
            </w:tcBorders>
          </w:tcPr>
          <w:p w14:paraId="66084B9E">
            <w:pPr>
              <w:snapToGrid w:val="0"/>
              <w:spacing w:before="120" w:beforeLines="50" w:after="120" w:afterLines="50"/>
              <w:rPr>
                <w:rFonts w:hint="eastAsia" w:ascii="仿宋" w:hAnsi="仿宋" w:eastAsia="仿宋" w:cs="仿宋"/>
                <w:kern w:val="0"/>
                <w:sz w:val="32"/>
                <w:szCs w:val="32"/>
              </w:rPr>
            </w:pPr>
            <w:r>
              <w:rPr>
                <w:rFonts w:hint="eastAsia" w:ascii="仿宋" w:hAnsi="仿宋" w:eastAsia="仿宋" w:cs="仿宋"/>
                <w:b/>
                <w:bCs/>
                <w:kern w:val="0"/>
                <w:sz w:val="28"/>
                <w:szCs w:val="28"/>
              </w:rPr>
              <w:t>主题：生态产品价值实现</w:t>
            </w:r>
          </w:p>
        </w:tc>
      </w:tr>
      <w:tr w14:paraId="42F28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226" w:type="dxa"/>
            <w:tcBorders>
              <w:top w:val="single" w:color="auto" w:sz="4" w:space="0"/>
              <w:left w:val="single" w:color="auto" w:sz="4" w:space="0"/>
              <w:bottom w:val="single" w:color="auto" w:sz="4" w:space="0"/>
              <w:right w:val="single" w:color="auto" w:sz="4" w:space="0"/>
            </w:tcBorders>
          </w:tcPr>
          <w:p w14:paraId="14B6FECB">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4B595D81">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生态产品价值实现是我国生态文明建设的重要抓手，是实现“绿水青山就是金山银山”理论的物质载体和实践抓手。2021年，中共中央、国务院办公厅印发《关于建立健全生态产品价值实现机制的意见》将生态产品价值实现机制从地方试点上升为顶层设计，构建了“两山”转化的政策制度体系，为加快建立生态产品价值实现机制提供了有力支撑。2022年，党的二十大将人与自然和谐共生列为中国式现代化的本质内涵，并将“建立生态产品价值实现机制”写入党的二十大报告。这是党对人与自然关系认识的重大跃升，揭示了生态产品价值实现是建设人与自然和谐共生的现代化的必由之路。近年来，随着生态产品价值实现机制试点的深入推进和各地实践探索的开展，我国在生态产品价值实现有关理论研究、机制创新、特色模式、路径实践等方面取得了重要进展、积累了宝贵经验，但依然存在着理论认识不深、实现路径单一、制度创新不足、配套保障不全、可复制可推广模式较少等瓶颈制约，需要加强经验总结，在深入推进生态产品价值实现机制创新、路径实践方面取得新突破。</w:t>
            </w:r>
          </w:p>
          <w:p w14:paraId="3E64FAB3">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交叉融合生态学、经济学等学科理论知识，借鉴国内外典型经验，构建加快生态产品价值实现的制度机制，探索其实现路径，以实现人民群众物质生活水平和生态资源资产的双富裕，推动形成人与自然和谐共生的现代化建设新格局。</w:t>
            </w:r>
          </w:p>
        </w:tc>
      </w:tr>
      <w:tr w14:paraId="091C1019">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05" w:hRule="atLeast"/>
        </w:trPr>
        <w:tc>
          <w:tcPr>
            <w:tcW w:w="8226" w:type="dxa"/>
            <w:tcBorders>
              <w:top w:val="single" w:color="auto" w:sz="4" w:space="0"/>
              <w:left w:val="single" w:color="auto" w:sz="4" w:space="0"/>
              <w:bottom w:val="single" w:color="auto" w:sz="4" w:space="0"/>
              <w:right w:val="single" w:color="auto" w:sz="4" w:space="0"/>
            </w:tcBorders>
          </w:tcPr>
          <w:p w14:paraId="6C4778D3">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0CF33A3B">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1.生态产品价值实现机制和路径设计</w:t>
            </w:r>
          </w:p>
          <w:p w14:paraId="6A0D9B69">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2.生态产品价值核算及交易机制</w:t>
            </w:r>
          </w:p>
          <w:p w14:paraId="270FEAE8">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3.低成本智慧生态园区构建</w:t>
            </w:r>
          </w:p>
          <w:p w14:paraId="28B37F01">
            <w:pPr>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4.国家公园、矿产资源、林地等生态产品价值实现</w:t>
            </w:r>
          </w:p>
        </w:tc>
      </w:tr>
    </w:tbl>
    <w:p w14:paraId="14A2548B">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32921A96">
      <w:pPr>
        <w:snapToGrid w:val="0"/>
        <w:spacing w:before="120" w:beforeLines="50" w:after="120" w:afterLines="50" w:line="500" w:lineRule="exact"/>
        <w:jc w:val="center"/>
        <w:rPr>
          <w:rStyle w:val="7"/>
          <w:rFonts w:hint="eastAsia" w:ascii="仿宋" w:hAnsi="仿宋" w:eastAsia="仿宋" w:cs="Microsoft YaHei UI"/>
          <w:spacing w:val="15"/>
          <w:sz w:val="32"/>
          <w:szCs w:val="32"/>
          <w:shd w:val="clear" w:color="auto" w:fill="FFFFFF"/>
        </w:rPr>
      </w:pPr>
      <w:r>
        <w:rPr>
          <w:rFonts w:hint="eastAsia" w:ascii="仿宋" w:hAnsi="仿宋" w:eastAsia="仿宋" w:cs="仿宋_GB2312"/>
          <w:b/>
          <w:bCs/>
          <w:sz w:val="32"/>
          <w:szCs w:val="32"/>
        </w:rPr>
        <w:t>命题</w:t>
      </w:r>
      <w:r>
        <w:rPr>
          <w:rFonts w:ascii="仿宋" w:hAnsi="仿宋" w:eastAsia="仿宋" w:cs="仿宋_GB2312"/>
          <w:b/>
          <w:bCs/>
          <w:sz w:val="32"/>
          <w:szCs w:val="32"/>
        </w:rPr>
        <w:t>2</w:t>
      </w:r>
      <w:r>
        <w:rPr>
          <w:rFonts w:hint="eastAsia" w:ascii="仿宋" w:hAnsi="仿宋" w:eastAsia="仿宋" w:cs="仿宋_GB2312"/>
          <w:b/>
          <w:bCs/>
          <w:sz w:val="32"/>
          <w:szCs w:val="32"/>
        </w:rPr>
        <w:t>8（赛道六：双碳+政策、机制与体系创新）</w:t>
      </w:r>
    </w:p>
    <w:tbl>
      <w:tblPr>
        <w:tblStyle w:val="5"/>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0"/>
      </w:tblGrid>
      <w:tr w14:paraId="28C0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14:paraId="2A12A7E9">
            <w:pPr>
              <w:spacing w:before="120" w:beforeLines="50" w:after="120" w:afterLines="50"/>
              <w:rPr>
                <w:rFonts w:hint="eastAsia" w:ascii="仿宋" w:hAnsi="仿宋" w:eastAsia="仿宋" w:cs="Times New Roman"/>
                <w:kern w:val="0"/>
                <w:sz w:val="32"/>
                <w:szCs w:val="32"/>
              </w:rPr>
            </w:pPr>
            <w:r>
              <w:rPr>
                <w:rFonts w:hint="eastAsia" w:ascii="仿宋" w:hAnsi="仿宋" w:eastAsia="仿宋" w:cs="仿宋"/>
                <w:b/>
                <w:bCs/>
                <w:kern w:val="0"/>
                <w:sz w:val="28"/>
                <w:szCs w:val="28"/>
              </w:rPr>
              <w:t>主题：碳金融驱动产业绿色转型升级</w:t>
            </w:r>
          </w:p>
        </w:tc>
      </w:tr>
      <w:tr w14:paraId="2B01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14:paraId="79BE1700">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0C8550F1">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双碳目标下产业转型发展错综复杂，需要庞大资金供给与多元金融工具支持。碳金融旨在通过金融市场解决全球温室气体减排问题，推动可持续发展。它包括碳交易、碳资产投资、碳信贷和碳保险等多个领域。碳金融的实质是将减排资源的所有权和使用权进行分离，通过市场机制实现碳减排目标。</w:t>
            </w:r>
          </w:p>
          <w:p w14:paraId="717EDD6D">
            <w:pPr>
              <w:snapToGrid w:val="0"/>
              <w:spacing w:line="312" w:lineRule="auto"/>
              <w:ind w:firstLine="560" w:firstLineChars="200"/>
              <w:rPr>
                <w:rFonts w:hint="eastAsia" w:ascii="仿宋" w:hAnsi="仿宋" w:eastAsia="仿宋" w:cs="Times New Roman"/>
                <w:kern w:val="0"/>
                <w:sz w:val="32"/>
                <w:szCs w:val="32"/>
              </w:rPr>
            </w:pPr>
            <w:r>
              <w:rPr>
                <w:rFonts w:hint="eastAsia" w:ascii="仿宋" w:hAnsi="仿宋" w:eastAsia="仿宋" w:cs="仿宋"/>
                <w:kern w:val="0"/>
                <w:sz w:val="28"/>
                <w:szCs w:val="28"/>
              </w:rPr>
              <w:t>目前上海等地已经形成了多层次绿色金融组织机构体系、多元化绿色金融产品和服务体系、多渠道绿色产融结合和产业转型的市场平台体系。通过碳市场激励企业加大减排投入，反哺行业发展、产业发展。碳金融与产业绿色转型之间形成了怎样的关系？双碳目标下的金融创新如何更好地服务于产业绿色转型？拟通过本主题，探讨碳金融赋能农业、工业、服务业绿色转型升级的路径。</w:t>
            </w:r>
          </w:p>
        </w:tc>
      </w:tr>
      <w:tr w14:paraId="6323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14:paraId="789A8BC4">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5BF0CEBE">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1.生态银行建设</w:t>
            </w:r>
          </w:p>
          <w:p w14:paraId="403848A2">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2.ESG表现评价体系建设</w:t>
            </w:r>
          </w:p>
          <w:p w14:paraId="4A47411F">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3.碳金融与新能源产业</w:t>
            </w:r>
          </w:p>
          <w:p w14:paraId="2A9A2D09">
            <w:pPr>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4.碳金融与乡村振兴</w:t>
            </w:r>
          </w:p>
          <w:p w14:paraId="77BE85E3">
            <w:pPr>
              <w:spacing w:line="312" w:lineRule="auto"/>
              <w:rPr>
                <w:rFonts w:hint="eastAsia" w:ascii="仿宋" w:hAnsi="仿宋" w:eastAsia="仿宋" w:cs="Times New Roman"/>
                <w:kern w:val="0"/>
                <w:sz w:val="32"/>
                <w:szCs w:val="32"/>
              </w:rPr>
            </w:pPr>
            <w:r>
              <w:rPr>
                <w:rFonts w:hint="eastAsia" w:ascii="仿宋" w:hAnsi="仿宋" w:eastAsia="仿宋" w:cs="仿宋"/>
                <w:kern w:val="0"/>
                <w:sz w:val="28"/>
                <w:szCs w:val="28"/>
              </w:rPr>
              <w:t>5.绿色融资租赁</w:t>
            </w:r>
          </w:p>
        </w:tc>
      </w:tr>
    </w:tbl>
    <w:p w14:paraId="5BF0E602">
      <w:pPr>
        <w:snapToGrid w:val="0"/>
        <w:spacing w:before="120" w:beforeLines="50" w:after="120" w:afterLines="50" w:line="500" w:lineRule="exact"/>
        <w:jc w:val="center"/>
        <w:rPr>
          <w:rFonts w:hint="eastAsia" w:ascii="仿宋" w:hAnsi="仿宋" w:eastAsia="仿宋" w:cs="仿宋_GB2312"/>
          <w:b/>
          <w:bCs/>
          <w:sz w:val="32"/>
          <w:szCs w:val="32"/>
        </w:rPr>
      </w:pPr>
    </w:p>
    <w:p w14:paraId="43B4B730">
      <w:pPr>
        <w:widowControl/>
        <w:jc w:val="left"/>
        <w:rPr>
          <w:rFonts w:hint="eastAsia" w:ascii="仿宋" w:hAnsi="仿宋" w:eastAsia="仿宋" w:cs="仿宋_GB2312"/>
          <w:b/>
          <w:bCs/>
          <w:sz w:val="32"/>
          <w:szCs w:val="32"/>
        </w:rPr>
      </w:pPr>
      <w:r>
        <w:rPr>
          <w:rFonts w:ascii="仿宋" w:hAnsi="仿宋" w:eastAsia="仿宋" w:cs="仿宋_GB2312"/>
          <w:b/>
          <w:bCs/>
          <w:sz w:val="32"/>
          <w:szCs w:val="32"/>
        </w:rPr>
        <w:br w:type="page"/>
      </w:r>
    </w:p>
    <w:p w14:paraId="06E48BD3">
      <w:pPr>
        <w:snapToGrid w:val="0"/>
        <w:spacing w:before="120" w:beforeLines="50" w:after="120" w:afterLines="50" w:line="500" w:lineRule="exact"/>
        <w:jc w:val="center"/>
        <w:rPr>
          <w:rFonts w:hint="eastAsia" w:ascii="仿宋" w:hAnsi="仿宋" w:eastAsia="仿宋" w:cs="仿宋_GB2312"/>
          <w:b/>
          <w:bCs/>
          <w:sz w:val="32"/>
          <w:szCs w:val="32"/>
        </w:rPr>
      </w:pPr>
      <w:r>
        <w:rPr>
          <w:rFonts w:hint="eastAsia" w:ascii="仿宋" w:hAnsi="仿宋" w:eastAsia="仿宋" w:cs="仿宋_GB2312"/>
          <w:b/>
          <w:bCs/>
          <w:sz w:val="32"/>
          <w:szCs w:val="32"/>
        </w:rPr>
        <w:t>命题29（赛道六：双碳+政策、机制与体系创新）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8B8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08D4D9E6">
            <w:pPr>
              <w:snapToGrid w:val="0"/>
              <w:spacing w:before="120" w:beforeLines="50" w:after="120" w:afterLines="50"/>
              <w:rPr>
                <w:rFonts w:hint="eastAsia" w:ascii="仿宋" w:hAnsi="仿宋" w:eastAsia="仿宋" w:cs="仿宋"/>
                <w:b/>
                <w:bCs/>
                <w:kern w:val="0"/>
                <w:sz w:val="32"/>
                <w:szCs w:val="32"/>
              </w:rPr>
            </w:pPr>
            <w:r>
              <w:rPr>
                <w:rFonts w:hint="eastAsia" w:ascii="仿宋" w:hAnsi="仿宋" w:eastAsia="仿宋" w:cs="仿宋"/>
                <w:b/>
                <w:bCs/>
                <w:kern w:val="0"/>
                <w:sz w:val="28"/>
                <w:szCs w:val="28"/>
              </w:rPr>
              <w:t>主题：企业碳排放信息披露的治理机制创新</w:t>
            </w:r>
          </w:p>
        </w:tc>
      </w:tr>
      <w:tr w14:paraId="6AE4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761F81FD">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1CAC0F8">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作为社会的基本生产单元，企业是温室气体的基本排放源，也是政府减排行动的重要参与者。高质量的企业碳排放信息披露对于实现“双碳”目标意义重大，有利于帮助企业增强气候风险管理的意识、能力，以及充分发挥碳交易市场的作用。</w:t>
            </w:r>
          </w:p>
          <w:p w14:paraId="4A59BFE3">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碳排放总量和强度“双控”要求企业健全碳排放统计、监测、报告、核查、披露体系。在现有治理机制下，企业碳排放披露体系存在诸多问题。国内尚未建立完善的碳排放信息披露制度，企业碳排放信息披露尚处于初级阶段。对于碳排放信息披露缺乏督促企业客观、准确披露碳排放信息的动力。</w:t>
            </w:r>
          </w:p>
          <w:p w14:paraId="7023407A">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探索构建与国际衔接，具有中国特色的企业碳排放信息披露标准，对企业碳排放信息披露的范围及边界进行清晰合理界定；构建企业碳排放信息披露的评估体系，提升披露质量；设计有效的企业碳排放信息披露激励和约束机制，促进企业自主披露。</w:t>
            </w:r>
          </w:p>
          <w:p w14:paraId="136D806F">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如何通过经济学、管理学、环境科学和人工智能等多学科交叉融合，创新性解决单个企业和上下游产业链的碳排放信息披露问题，促进企业碳中和转型，积极参与到碳排放市场交易，促进双碳目标实现。</w:t>
            </w:r>
          </w:p>
        </w:tc>
      </w:tr>
      <w:tr w14:paraId="55C7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8220" w:type="dxa"/>
          </w:tcPr>
          <w:p w14:paraId="68E7DFC3">
            <w:pPr>
              <w:spacing w:before="120" w:beforeLines="50" w:after="120" w:afterLines="50"/>
              <w:rPr>
                <w:rFonts w:hint="eastAsia" w:ascii="仿宋" w:hAnsi="仿宋" w:eastAsia="仿宋" w:cs="仿宋"/>
                <w:b/>
                <w:bCs/>
                <w:kern w:val="0"/>
                <w:sz w:val="28"/>
                <w:szCs w:val="28"/>
                <w:lang w:val="zh-TW"/>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p>
          <w:p w14:paraId="22802A5C">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1.企业碳排放信息披露标准</w:t>
            </w:r>
          </w:p>
          <w:p w14:paraId="29E5E231">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2.企业碳排放信息披露评估</w:t>
            </w:r>
          </w:p>
          <w:p w14:paraId="73233250">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3.企业碳排放信息披露的激励与约束机制</w:t>
            </w:r>
          </w:p>
          <w:p w14:paraId="284E0FF7">
            <w:pPr>
              <w:snapToGrid w:val="0"/>
              <w:spacing w:line="312" w:lineRule="auto"/>
              <w:rPr>
                <w:rFonts w:hint="eastAsia" w:ascii="仿宋" w:hAnsi="仿宋" w:eastAsia="仿宋" w:cs="仿宋"/>
                <w:kern w:val="0"/>
                <w:sz w:val="32"/>
                <w:szCs w:val="32"/>
              </w:rPr>
            </w:pPr>
            <w:r>
              <w:rPr>
                <w:rFonts w:hint="eastAsia" w:ascii="仿宋" w:hAnsi="仿宋" w:eastAsia="仿宋" w:cs="仿宋"/>
                <w:kern w:val="0"/>
                <w:sz w:val="28"/>
                <w:szCs w:val="28"/>
              </w:rPr>
              <w:t>4.企业碳排放信息披露的区块链应用</w:t>
            </w:r>
          </w:p>
        </w:tc>
      </w:tr>
    </w:tbl>
    <w:p w14:paraId="565FF144">
      <w:pPr>
        <w:widowControl/>
        <w:jc w:val="left"/>
        <w:rPr>
          <w:rFonts w:hint="eastAsia" w:ascii="仿宋" w:hAnsi="仿宋" w:eastAsia="仿宋" w:cs="Times New Roman"/>
          <w:b/>
          <w:bCs/>
          <w:sz w:val="32"/>
          <w:szCs w:val="32"/>
        </w:rPr>
      </w:pPr>
      <w:r>
        <w:rPr>
          <w:rFonts w:ascii="仿宋" w:hAnsi="仿宋" w:eastAsia="仿宋" w:cs="Times New Roman"/>
          <w:b/>
          <w:bCs/>
          <w:sz w:val="32"/>
          <w:szCs w:val="32"/>
        </w:rPr>
        <w:br w:type="page"/>
      </w:r>
    </w:p>
    <w:p w14:paraId="39B7B0DE">
      <w:pPr>
        <w:snapToGrid w:val="0"/>
        <w:spacing w:before="120" w:beforeLines="50" w:after="120" w:afterLines="50" w:line="500" w:lineRule="exact"/>
        <w:jc w:val="center"/>
        <w:rPr>
          <w:rFonts w:hint="eastAsia" w:ascii="仿宋" w:hAnsi="仿宋" w:eastAsia="仿宋" w:cs="Times New Roman"/>
          <w:b/>
          <w:bCs/>
          <w:sz w:val="32"/>
          <w:szCs w:val="32"/>
        </w:rPr>
      </w:pPr>
      <w:r>
        <w:rPr>
          <w:rFonts w:hint="eastAsia" w:ascii="仿宋" w:hAnsi="仿宋" w:eastAsia="仿宋" w:cs="Times New Roman"/>
          <w:b/>
          <w:bCs/>
          <w:sz w:val="32"/>
          <w:szCs w:val="32"/>
        </w:rPr>
        <w:t>命题30（</w:t>
      </w:r>
      <w:r>
        <w:rPr>
          <w:rFonts w:hint="eastAsia" w:ascii="仿宋" w:hAnsi="仿宋" w:eastAsia="仿宋" w:cs="仿宋_GB2312"/>
          <w:b/>
          <w:bCs/>
          <w:sz w:val="32"/>
          <w:szCs w:val="32"/>
        </w:rPr>
        <w:t>赛道六：双碳+政策、机制与体系创新）</w:t>
      </w:r>
    </w:p>
    <w:tbl>
      <w:tblPr>
        <w:tblStyle w:val="5"/>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8"/>
      </w:tblGrid>
      <w:tr w14:paraId="1288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14:paraId="57091574">
            <w:pPr>
              <w:spacing w:before="120" w:beforeLines="50" w:after="120" w:afterLines="50"/>
              <w:rPr>
                <w:rFonts w:hint="eastAsia" w:ascii="仿宋" w:hAnsi="仿宋" w:eastAsia="仿宋" w:cs="Times New Roman"/>
                <w:kern w:val="0"/>
                <w:sz w:val="32"/>
                <w:szCs w:val="32"/>
              </w:rPr>
            </w:pPr>
            <w:r>
              <w:rPr>
                <w:rFonts w:hint="eastAsia" w:ascii="仿宋" w:hAnsi="仿宋" w:eastAsia="仿宋" w:cs="仿宋"/>
                <w:b/>
                <w:bCs/>
                <w:kern w:val="0"/>
                <w:sz w:val="28"/>
                <w:szCs w:val="28"/>
              </w:rPr>
              <w:t>主题：未来碳市场与人类生产生活</w:t>
            </w:r>
          </w:p>
        </w:tc>
      </w:tr>
      <w:tr w14:paraId="7A7E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14:paraId="2B7AADDA">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1C6C4EE7">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根据国际碳行动伙伴组织（ICAP）于2023年3月发布的《全球碳排放权交易：ICAP 2023年进展报告》，全球碳市场在多重挑战下展示了对外界冲击的弹性与韧性，在波动中稳步发展。目前中国全国碳市场覆盖下的碳排放量居世界首位。</w:t>
            </w:r>
          </w:p>
          <w:p w14:paraId="021BAB12">
            <w:pPr>
              <w:snapToGrid w:val="0"/>
              <w:spacing w:line="312" w:lineRule="auto"/>
              <w:ind w:firstLine="560" w:firstLineChars="200"/>
              <w:rPr>
                <w:rFonts w:hint="eastAsia" w:ascii="仿宋" w:hAnsi="仿宋" w:eastAsia="仿宋" w:cs="Times New Roman"/>
                <w:kern w:val="0"/>
                <w:sz w:val="32"/>
                <w:szCs w:val="32"/>
              </w:rPr>
            </w:pPr>
            <w:r>
              <w:rPr>
                <w:rFonts w:hint="eastAsia" w:ascii="仿宋" w:hAnsi="仿宋" w:eastAsia="仿宋" w:cs="仿宋"/>
                <w:kern w:val="0"/>
                <w:sz w:val="28"/>
                <w:szCs w:val="28"/>
              </w:rPr>
              <w:t>2020年12月生态环境部审议通过《碳排放权交易管理办法（试行）》，并于2021年2月正式实施，对碳市场建设的责任部门、气体覆盖范围、行业范围、碳交易主体、碳配额方式等作出规定，标志着我国全国性碳交易市场建设的开启。由于中国碳市场尚处于初步发展阶段，仍需向相对成熟的全球典型碳市场汲取经验。覆盖行业和温室气体范围扩大以及配额有偿分配机制的引进等将成为中国碳交易体系的未来发展趋势。而作为全国碳排放权交易市场的重要补充，温室气体自愿减排交易市场（CCER市场）已经暂停了5年多，何时启动成为当前市场最关注的话题之一。若CCER市场重启，碳市场未来走势如何？未来碳市场将如何影响行业发展与居民生活？拟通过本主题，探讨未来碳市场的发展及其对生产生活的影响。</w:t>
            </w:r>
          </w:p>
        </w:tc>
      </w:tr>
      <w:tr w14:paraId="4899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14:paraId="60F5D0D1">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5158D996">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1.碳普惠</w:t>
            </w:r>
          </w:p>
          <w:p w14:paraId="58A02C67">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2.气候金融与气候风险量化</w:t>
            </w:r>
          </w:p>
          <w:p w14:paraId="13D44E40">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3.碳定价机制</w:t>
            </w:r>
          </w:p>
          <w:p w14:paraId="52CAB721">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4.CCER市场</w:t>
            </w:r>
          </w:p>
          <w:p w14:paraId="45E04A93">
            <w:pPr>
              <w:snapToGrid w:val="0"/>
              <w:spacing w:line="312" w:lineRule="auto"/>
              <w:rPr>
                <w:rFonts w:hint="eastAsia" w:ascii="仿宋" w:hAnsi="仿宋" w:eastAsia="仿宋" w:cs="Times New Roman"/>
                <w:kern w:val="0"/>
                <w:sz w:val="32"/>
                <w:szCs w:val="32"/>
              </w:rPr>
            </w:pPr>
            <w:r>
              <w:rPr>
                <w:rFonts w:hint="eastAsia" w:ascii="仿宋" w:hAnsi="仿宋" w:eastAsia="仿宋" w:cs="仿宋"/>
                <w:kern w:val="0"/>
                <w:sz w:val="28"/>
                <w:szCs w:val="28"/>
              </w:rPr>
              <w:t>5.林业碳汇市场</w:t>
            </w:r>
          </w:p>
        </w:tc>
      </w:tr>
    </w:tbl>
    <w:p w14:paraId="4D235BDC">
      <w:pPr>
        <w:rPr>
          <w:rFonts w:hint="eastAsia" w:ascii="仿宋" w:hAnsi="仿宋" w:eastAsia="仿宋" w:cs="仿宋_GB2312"/>
          <w:b/>
          <w:bCs/>
          <w:sz w:val="32"/>
          <w:szCs w:val="32"/>
        </w:rPr>
      </w:pPr>
      <w:r>
        <w:rPr>
          <w:rFonts w:ascii="仿宋" w:hAnsi="仿宋" w:eastAsia="仿宋" w:cs="仿宋_GB2312"/>
          <w:b/>
          <w:bCs/>
          <w:sz w:val="32"/>
          <w:szCs w:val="32"/>
        </w:rPr>
        <w:br w:type="page"/>
      </w:r>
    </w:p>
    <w:p w14:paraId="6087E7E1">
      <w:pPr>
        <w:snapToGrid w:val="0"/>
        <w:spacing w:before="120" w:beforeLines="50" w:after="120"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rPr>
        <w:t>31（</w:t>
      </w:r>
      <w:r>
        <w:rPr>
          <w:rFonts w:ascii="仿宋" w:hAnsi="仿宋" w:eastAsia="仿宋" w:cs="仿宋_GB2312"/>
          <w:b/>
          <w:bCs/>
          <w:sz w:val="32"/>
          <w:szCs w:val="32"/>
        </w:rPr>
        <w:t>赛道</w:t>
      </w:r>
      <w:r>
        <w:rPr>
          <w:rFonts w:hint="eastAsia" w:ascii="仿宋" w:hAnsi="仿宋" w:eastAsia="仿宋" w:cs="仿宋_GB2312"/>
          <w:b/>
          <w:bCs/>
          <w:sz w:val="32"/>
          <w:szCs w:val="32"/>
        </w:rPr>
        <w:t>七：双碳+农业生产与环境）</w:t>
      </w:r>
    </w:p>
    <w:p w14:paraId="58D77E39">
      <w:pPr>
        <w:spacing w:line="20" w:lineRule="auto"/>
        <w:rPr>
          <w:rFonts w:hint="eastAsia" w:ascii="仿宋" w:hAnsi="仿宋" w:eastAsia="仿宋"/>
          <w:sz w:val="32"/>
          <w:szCs w:val="32"/>
        </w:rPr>
      </w:pPr>
    </w:p>
    <w:tbl>
      <w:tblPr>
        <w:tblStyle w:val="8"/>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14:paraId="7E77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8254" w:type="dxa"/>
            <w:vAlign w:val="center"/>
          </w:tcPr>
          <w:p w14:paraId="5E124897">
            <w:pPr>
              <w:spacing w:line="219" w:lineRule="auto"/>
              <w:rPr>
                <w:rFonts w:hint="eastAsia" w:ascii="仿宋" w:hAnsi="仿宋" w:eastAsia="仿宋" w:cs="仿宋"/>
                <w:kern w:val="0"/>
                <w:sz w:val="32"/>
                <w:szCs w:val="32"/>
              </w:rPr>
            </w:pPr>
            <w:r>
              <w:rPr>
                <w:rFonts w:hint="eastAsia" w:ascii="仿宋" w:hAnsi="仿宋" w:eastAsia="仿宋" w:cs="仿宋"/>
                <w:b/>
                <w:bCs/>
                <w:kern w:val="0"/>
                <w:sz w:val="28"/>
                <w:szCs w:val="28"/>
              </w:rPr>
              <w:t>主题：种植业绿色生产和农产品低碳加工</w:t>
            </w:r>
          </w:p>
        </w:tc>
      </w:tr>
      <w:tr w14:paraId="1B008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1" w:hRule="atLeast"/>
          <w:jc w:val="center"/>
        </w:trPr>
        <w:tc>
          <w:tcPr>
            <w:tcW w:w="8254" w:type="dxa"/>
            <w:vAlign w:val="center"/>
          </w:tcPr>
          <w:p w14:paraId="52412EF3">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29B311CC">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当前农业资源高度消耗、种植业绿色生产和农产品低碳加工技术落后等问题逐渐突出。加快推进种植业节能减排及农产品低碳生产，提高农业资源利用效率，改善农业农村生态环境，实现农业绿色发展，将农业农村建设成为美丽中国的“生态屏障”，是建设农业生态文明的内在要求。</w:t>
            </w:r>
          </w:p>
          <w:p w14:paraId="55BE79B4">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种植业是温室气体的主要排放源之一，排放量占我国温室气体排放总量的24%，如何通过有效措施来减少资源浪费和环境污染以助力我国实现“双碳”目标成为迫在眉睫的问题。一方面种植业节能减排主要途径包括优质绿色新品种应用、节水灌溉技术、化肥农药减量增效技术，绿色高效栽培技术等。另一方面，农产品加工过程中所产生的大量的碳给环境带来污染，也是制约我国农业绿色发展和乡村振兴的重要因素，低碳生产工艺备受关注，尤其在低碳农产品生产工艺，低碳农产品供应链管理方案设计及种植业碳核算方法学构建等方面，应重点加强对上述科学问题的研究。</w:t>
            </w:r>
          </w:p>
          <w:p w14:paraId="074FC9E2">
            <w:pPr>
              <w:snapToGrid w:val="0"/>
              <w:spacing w:line="312" w:lineRule="auto"/>
              <w:ind w:firstLine="560" w:firstLineChars="200"/>
              <w:rPr>
                <w:rFonts w:hint="eastAsia" w:ascii="仿宋" w:hAnsi="仿宋" w:eastAsia="仿宋" w:cs="仿宋"/>
                <w:spacing w:val="-9"/>
                <w:kern w:val="0"/>
                <w:sz w:val="32"/>
                <w:szCs w:val="32"/>
              </w:rPr>
            </w:pPr>
            <w:r>
              <w:rPr>
                <w:rFonts w:hint="eastAsia" w:ascii="仿宋" w:hAnsi="仿宋" w:eastAsia="仿宋" w:cs="仿宋"/>
                <w:kern w:val="0"/>
                <w:sz w:val="28"/>
                <w:szCs w:val="28"/>
              </w:rPr>
              <w:t>拟通过本主题，合众之力，推动种植业节能减排与农产品低碳生产工艺的创新发展，加快推进种植业节能减排，提高种植业资源利用效率，改善种植业生态环境，实现种植业绿色发展，服务“双碳”目标、粮食安全、农业高质量发展和保障人民健康。</w:t>
            </w:r>
          </w:p>
        </w:tc>
      </w:tr>
      <w:tr w14:paraId="3507D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jc w:val="center"/>
        </w:trPr>
        <w:tc>
          <w:tcPr>
            <w:tcW w:w="8254" w:type="dxa"/>
            <w:vAlign w:val="center"/>
          </w:tcPr>
          <w:p w14:paraId="7F5E6BCA">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645A2136">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1.高产、优质、低碳品种选育</w:t>
            </w:r>
          </w:p>
          <w:p w14:paraId="70B90622">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2.绿色高效种植技术</w:t>
            </w:r>
          </w:p>
          <w:p w14:paraId="052D2750">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3.化肥农药减量增效技术</w:t>
            </w:r>
          </w:p>
          <w:p w14:paraId="3049DD56">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4.低碳农产品生产工艺</w:t>
            </w:r>
          </w:p>
          <w:p w14:paraId="1CBD0BB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5.低碳农产品供应链管理方案设计</w:t>
            </w:r>
          </w:p>
          <w:p w14:paraId="1B76BB9B">
            <w:pPr>
              <w:snapToGrid w:val="0"/>
              <w:spacing w:line="312" w:lineRule="auto"/>
              <w:rPr>
                <w:rFonts w:hint="eastAsia" w:ascii="仿宋" w:hAnsi="仿宋" w:eastAsia="仿宋" w:cs="仿宋"/>
                <w:spacing w:val="-4"/>
                <w:kern w:val="0"/>
                <w:sz w:val="32"/>
                <w:szCs w:val="32"/>
              </w:rPr>
            </w:pPr>
            <w:r>
              <w:rPr>
                <w:rFonts w:hint="eastAsia" w:ascii="仿宋" w:hAnsi="仿宋" w:eastAsia="仿宋" w:cs="仿宋"/>
                <w:kern w:val="0"/>
                <w:sz w:val="28"/>
                <w:szCs w:val="28"/>
              </w:rPr>
              <w:t>6.种植业碳核算方法学构建</w:t>
            </w:r>
          </w:p>
        </w:tc>
      </w:tr>
    </w:tbl>
    <w:p w14:paraId="09494139">
      <w:pPr>
        <w:rPr>
          <w:rFonts w:hint="eastAsia" w:ascii="仿宋" w:hAnsi="仿宋" w:eastAsia="仿宋"/>
          <w:sz w:val="32"/>
          <w:szCs w:val="32"/>
        </w:rPr>
        <w:sectPr>
          <w:pgSz w:w="11907" w:h="16839"/>
          <w:pgMar w:top="1431" w:right="1785" w:bottom="1394" w:left="1785" w:header="0" w:footer="1233" w:gutter="0"/>
          <w:cols w:space="720" w:num="1"/>
        </w:sectPr>
      </w:pPr>
    </w:p>
    <w:p w14:paraId="5A57D184">
      <w:pPr>
        <w:snapToGrid w:val="0"/>
        <w:spacing w:before="120" w:beforeLines="50" w:after="120"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rPr>
        <w:t>32（</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双碳+农业生产与环境）</w:t>
      </w:r>
    </w:p>
    <w:p w14:paraId="760D9C6D">
      <w:pPr>
        <w:spacing w:line="20" w:lineRule="auto"/>
        <w:rPr>
          <w:rFonts w:hint="eastAsia" w:ascii="仿宋" w:hAnsi="仿宋" w:eastAsia="仿宋"/>
          <w:sz w:val="32"/>
          <w:szCs w:val="32"/>
        </w:rPr>
      </w:pPr>
    </w:p>
    <w:tbl>
      <w:tblPr>
        <w:tblStyle w:val="8"/>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14:paraId="6F69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8254" w:type="dxa"/>
            <w:vAlign w:val="center"/>
          </w:tcPr>
          <w:p w14:paraId="0336FBE2">
            <w:pPr>
              <w:spacing w:before="120" w:beforeLines="50" w:after="120" w:afterLines="50"/>
              <w:rPr>
                <w:rFonts w:hint="eastAsia" w:ascii="仿宋" w:hAnsi="仿宋" w:eastAsia="仿宋" w:cs="仿宋"/>
                <w:kern w:val="0"/>
                <w:sz w:val="32"/>
                <w:szCs w:val="32"/>
              </w:rPr>
            </w:pPr>
            <w:r>
              <w:rPr>
                <w:rFonts w:hint="eastAsia" w:ascii="仿宋" w:hAnsi="仿宋" w:eastAsia="仿宋" w:cs="仿宋"/>
                <w:b/>
                <w:bCs/>
                <w:kern w:val="0"/>
                <w:sz w:val="28"/>
                <w:szCs w:val="28"/>
              </w:rPr>
              <w:t>主题：养殖业减排降碳与产品设计</w:t>
            </w:r>
          </w:p>
        </w:tc>
      </w:tr>
      <w:tr w14:paraId="7592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3" w:hRule="atLeast"/>
          <w:jc w:val="center"/>
        </w:trPr>
        <w:tc>
          <w:tcPr>
            <w:tcW w:w="8254" w:type="dxa"/>
            <w:vAlign w:val="center"/>
          </w:tcPr>
          <w:p w14:paraId="4991A278">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7312C3A9">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随着“双碳”目标的明确提出，作为主要碳源的畜牧业亟须向高质量绿色低碳发展转型。从全球范围来看，畜牧业具有极大的减排潜力。到2030年，全球畜牧业系统的升级每年将贡献7.36亿吨二氧化碳当量的减排。通过在饲喂、放牧及粪便管理等方面推广使用现有的最佳规范和先进技术，畜牧部门温室气体减排可达30%。</w:t>
            </w:r>
          </w:p>
          <w:p w14:paraId="31E92414">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在国家提倡“大食物观”的多元食物供给要求和“双碳”任务约束下，在畜牧业转型升级的关键时期，推进畜牧业高质量绿色低碳发展不仅可以保障国家食物安全，还能减轻碳排放压力。“减排降碳”不但是环境友好型政策，同时具备“增产提效”的特点。畜牧业中，减少碳排放意味着营养物质的高效利用与产品的提质增效，在品种改良、畜禽日粮搭配优化、粪污资源循环利用、畜禽饲养管理改善等多方面共同努力下，助力“双碳”目标的实现。此外，为了量化畜禽养殖业的碳排放，为畜禽养殖业的碳减排提供依据，寻找合适的畜禽养殖业碳排放计算方法成为目前的研究热点。</w:t>
            </w:r>
          </w:p>
          <w:p w14:paraId="5819EC81">
            <w:pPr>
              <w:snapToGrid w:val="0"/>
              <w:spacing w:line="312" w:lineRule="auto"/>
              <w:ind w:firstLine="560" w:firstLineChars="200"/>
              <w:rPr>
                <w:rFonts w:hint="eastAsia" w:ascii="仿宋" w:hAnsi="仿宋" w:eastAsia="仿宋" w:cs="仿宋"/>
                <w:kern w:val="0"/>
                <w:sz w:val="32"/>
                <w:szCs w:val="32"/>
              </w:rPr>
            </w:pPr>
            <w:r>
              <w:rPr>
                <w:rFonts w:hint="eastAsia" w:ascii="仿宋" w:hAnsi="仿宋" w:eastAsia="仿宋" w:cs="仿宋"/>
                <w:kern w:val="0"/>
                <w:sz w:val="28"/>
                <w:szCs w:val="28"/>
              </w:rPr>
              <w:t>拟通过本主题，高产低排放畜禽品种改良技术、精准饲喂技术、产品低碳生产技术、畜禽粪污资源化利用技术、养殖业碳核算方法学构建等方面，推动畜牧业固碳减排，探索绿色健康型畜牧业。</w:t>
            </w:r>
          </w:p>
        </w:tc>
      </w:tr>
      <w:tr w14:paraId="5D902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254" w:type="dxa"/>
            <w:vAlign w:val="center"/>
          </w:tcPr>
          <w:p w14:paraId="222E56F3">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66CA739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1.高产低排放畜禽品种改良技术</w:t>
            </w:r>
          </w:p>
          <w:p w14:paraId="7FC0E3A8">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2.精准饲喂技术</w:t>
            </w:r>
          </w:p>
          <w:p w14:paraId="25EA9DA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3.产品低碳生产技术</w:t>
            </w:r>
          </w:p>
          <w:p w14:paraId="34AE6EED">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4.畜禽粪污资源化利用技术</w:t>
            </w:r>
          </w:p>
          <w:p w14:paraId="22E2457A">
            <w:pPr>
              <w:snapToGrid w:val="0"/>
              <w:spacing w:line="312" w:lineRule="auto"/>
              <w:rPr>
                <w:rFonts w:hint="eastAsia" w:ascii="仿宋" w:hAnsi="仿宋" w:eastAsia="仿宋" w:cs="仿宋"/>
                <w:spacing w:val="-4"/>
                <w:kern w:val="0"/>
                <w:sz w:val="32"/>
                <w:szCs w:val="32"/>
              </w:rPr>
            </w:pPr>
            <w:r>
              <w:rPr>
                <w:rFonts w:hint="eastAsia" w:ascii="仿宋" w:hAnsi="仿宋" w:eastAsia="仿宋" w:cs="仿宋"/>
                <w:kern w:val="0"/>
                <w:sz w:val="28"/>
                <w:szCs w:val="28"/>
              </w:rPr>
              <w:t>5.养殖业碳核算方法学构建</w:t>
            </w:r>
          </w:p>
        </w:tc>
      </w:tr>
    </w:tbl>
    <w:p w14:paraId="7E7ACF69">
      <w:pPr>
        <w:rPr>
          <w:rFonts w:hint="eastAsia" w:ascii="仿宋" w:hAnsi="仿宋" w:eastAsia="仿宋"/>
          <w:sz w:val="32"/>
          <w:szCs w:val="32"/>
        </w:rPr>
        <w:sectPr>
          <w:pgSz w:w="11907" w:h="16839"/>
          <w:pgMar w:top="1431" w:right="1785" w:bottom="1394" w:left="1785" w:header="0" w:footer="1233" w:gutter="0"/>
          <w:cols w:space="720" w:num="1"/>
        </w:sectPr>
      </w:pPr>
    </w:p>
    <w:p w14:paraId="4873E827">
      <w:pPr>
        <w:snapToGrid w:val="0"/>
        <w:spacing w:before="120" w:beforeLines="50" w:after="120"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rPr>
        <w:t>33（</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双碳+农业生产与环境）</w:t>
      </w:r>
    </w:p>
    <w:tbl>
      <w:tblPr>
        <w:tblStyle w:val="8"/>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14:paraId="4692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226" w:type="dxa"/>
            <w:vAlign w:val="center"/>
          </w:tcPr>
          <w:p w14:paraId="219E077F">
            <w:pPr>
              <w:spacing w:before="120" w:beforeLines="50" w:after="120" w:afterLines="50"/>
              <w:rPr>
                <w:rFonts w:hint="eastAsia" w:ascii="仿宋" w:hAnsi="仿宋" w:eastAsia="仿宋" w:cs="Times New Roman"/>
                <w:kern w:val="0"/>
                <w:sz w:val="32"/>
                <w:szCs w:val="32"/>
              </w:rPr>
            </w:pPr>
            <w:r>
              <w:rPr>
                <w:rFonts w:hint="eastAsia" w:ascii="仿宋" w:hAnsi="仿宋" w:eastAsia="仿宋" w:cs="仿宋"/>
                <w:b/>
                <w:bCs/>
                <w:kern w:val="0"/>
                <w:sz w:val="28"/>
                <w:szCs w:val="28"/>
              </w:rPr>
              <w:t>主题：农业水土资源高效利用技术与治理方法</w:t>
            </w:r>
          </w:p>
        </w:tc>
      </w:tr>
      <w:tr w14:paraId="55032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6" w:hRule="atLeast"/>
          <w:jc w:val="center"/>
        </w:trPr>
        <w:tc>
          <w:tcPr>
            <w:tcW w:w="8226" w:type="dxa"/>
            <w:shd w:val="clear" w:color="auto" w:fill="auto"/>
            <w:vAlign w:val="center"/>
          </w:tcPr>
          <w:p w14:paraId="7771C6C3">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2E31223">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农业是温室气体的排放源之一，更是固碳增汇的主要贡献者。推进农业减排固碳，是我国碳达峰碳中和的重要组成部分。水土资源是农业发展的基础，农业水土资源的低碳高效利用是农业固碳减排的重要途径。</w:t>
            </w:r>
          </w:p>
          <w:p w14:paraId="3C3BA6C0">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目前，土壤障碍、面源污染、水土资源短缺等成为农业现代化生产的制约因素，在资源短缺、粮食安全、碳中和及变化环境的大背景下，农业水土资源的高效利用与治理面临巨大挑战。2022年，农业农村部和国家发展改革委联合发布《农业农村减排固碳实施方案》，明确“六大任务”和“十大行动”。如何优化农田水分管理，建立适宜节水灌溉技术？如何绿色低碳综合利用农业水土资源？如何构建农田-生态-经济系统可持续管理模式？如何构建障碍土壤治理及修复技术？如何建立低碳农田污染处理技术以及农业面源污染削减控制技术？将成为农业碳达峰碳中和实施路径的关键问题。</w:t>
            </w:r>
          </w:p>
          <w:p w14:paraId="5778EC04">
            <w:pPr>
              <w:snapToGrid w:val="0"/>
              <w:spacing w:line="312" w:lineRule="auto"/>
              <w:ind w:firstLine="560" w:firstLineChars="200"/>
              <w:rPr>
                <w:rFonts w:hint="eastAsia" w:ascii="仿宋" w:hAnsi="仿宋" w:eastAsia="仿宋" w:cs="Times New Roman"/>
                <w:spacing w:val="-2"/>
                <w:kern w:val="0"/>
                <w:sz w:val="32"/>
                <w:szCs w:val="32"/>
              </w:rPr>
            </w:pPr>
            <w:r>
              <w:rPr>
                <w:rFonts w:hint="eastAsia" w:ascii="仿宋" w:hAnsi="仿宋" w:eastAsia="仿宋" w:cs="仿宋"/>
                <w:kern w:val="0"/>
                <w:sz w:val="28"/>
                <w:szCs w:val="28"/>
              </w:rPr>
              <w:t>拟通过本主题，协同创新，探索绿色、低碳、高效的农业水土高效资源利用与治理技术，践行农业碳汇能力提升理念，实现农业绿色低碳发展生态模式。</w:t>
            </w:r>
          </w:p>
        </w:tc>
      </w:tr>
      <w:tr w14:paraId="63109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8226" w:type="dxa"/>
            <w:shd w:val="clear" w:color="auto" w:fill="auto"/>
            <w:vAlign w:val="center"/>
          </w:tcPr>
          <w:p w14:paraId="7611E3BA">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275A434B">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1.节水灌溉技术</w:t>
            </w:r>
          </w:p>
          <w:p w14:paraId="4CD45D4D">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2.障碍土壤修复技术</w:t>
            </w:r>
          </w:p>
          <w:p w14:paraId="0A0C30A3">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3.农业面源污染削减方法</w:t>
            </w:r>
          </w:p>
          <w:p w14:paraId="10B292A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4.农田生态系统水-土-能-碳关联分析与调控</w:t>
            </w:r>
          </w:p>
          <w:p w14:paraId="2DB0649D">
            <w:pPr>
              <w:snapToGrid w:val="0"/>
              <w:spacing w:line="312" w:lineRule="auto"/>
              <w:rPr>
                <w:rFonts w:hint="eastAsia" w:ascii="仿宋" w:hAnsi="仿宋" w:eastAsia="仿宋" w:cs="Times New Roman"/>
                <w:spacing w:val="8"/>
                <w:kern w:val="0"/>
                <w:sz w:val="32"/>
                <w:szCs w:val="32"/>
              </w:rPr>
            </w:pPr>
            <w:r>
              <w:rPr>
                <w:rFonts w:hint="eastAsia" w:ascii="仿宋" w:hAnsi="仿宋" w:eastAsia="仿宋" w:cs="仿宋"/>
                <w:kern w:val="0"/>
                <w:sz w:val="28"/>
                <w:szCs w:val="28"/>
              </w:rPr>
              <w:t>5.农田-生态-经济系统可持续管理模式</w:t>
            </w:r>
          </w:p>
        </w:tc>
      </w:tr>
    </w:tbl>
    <w:p w14:paraId="0E577C55">
      <w:pPr>
        <w:rPr>
          <w:rFonts w:hint="eastAsia" w:ascii="仿宋" w:hAnsi="仿宋" w:eastAsia="仿宋"/>
          <w:sz w:val="32"/>
          <w:szCs w:val="32"/>
        </w:rPr>
        <w:sectPr>
          <w:pgSz w:w="11907" w:h="16839"/>
          <w:pgMar w:top="1431" w:right="1785" w:bottom="1394" w:left="1785" w:header="0" w:footer="1233" w:gutter="0"/>
          <w:cols w:space="720" w:num="1"/>
        </w:sectPr>
      </w:pPr>
    </w:p>
    <w:p w14:paraId="4D4985CC">
      <w:pPr>
        <w:snapToGrid w:val="0"/>
        <w:spacing w:before="120" w:beforeLines="50" w:after="120"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rPr>
        <w:t>4（</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双碳+农业生产与环境）</w:t>
      </w:r>
    </w:p>
    <w:tbl>
      <w:tblPr>
        <w:tblStyle w:val="8"/>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14:paraId="1AE37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8226" w:type="dxa"/>
            <w:vAlign w:val="center"/>
          </w:tcPr>
          <w:p w14:paraId="189EB070">
            <w:pPr>
              <w:spacing w:before="120" w:beforeLines="50" w:after="120" w:afterLines="50"/>
              <w:rPr>
                <w:rFonts w:hint="eastAsia" w:ascii="仿宋" w:hAnsi="仿宋" w:eastAsia="仿宋" w:cs="Times New Roman"/>
                <w:kern w:val="0"/>
                <w:sz w:val="32"/>
                <w:szCs w:val="32"/>
              </w:rPr>
            </w:pPr>
            <w:r>
              <w:rPr>
                <w:rFonts w:hint="eastAsia" w:ascii="仿宋" w:hAnsi="仿宋" w:eastAsia="仿宋" w:cs="仿宋"/>
                <w:b/>
                <w:bCs/>
                <w:kern w:val="0"/>
                <w:sz w:val="28"/>
                <w:szCs w:val="28"/>
              </w:rPr>
              <w:t>主题：农机节能减排与农业信息化技术</w:t>
            </w:r>
          </w:p>
        </w:tc>
      </w:tr>
      <w:tr w14:paraId="108E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9" w:hRule="atLeast"/>
          <w:jc w:val="center"/>
        </w:trPr>
        <w:tc>
          <w:tcPr>
            <w:tcW w:w="8226" w:type="dxa"/>
            <w:vAlign w:val="center"/>
          </w:tcPr>
          <w:p w14:paraId="24543AEE">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4E65727C">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农机是促进农业生产的核心要素，然而碳排放量达20万吨/年，相当于工程机械、船舶、铁路内燃机车和飞机碳排放量的总和。因此，推广低碳节能农机装备，降低化石能源消耗和碳排放，对能源与环境具有重大意义。</w:t>
            </w:r>
          </w:p>
          <w:p w14:paraId="24E5D777">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如何通过有效措施实现农机节能减排，助力实现“双碳”目标，亟需推广信息化技术，优化农机装备结构，加快复式、高效、绿色、智能农机技术装备普及应用。一方面因地制宜发展复式、高效农机装备和电动农机装备；通过优化设计农机装备结构，减少种子、化肥、农药、水资源用量；构建作物监测、农业生产和机械联合配置的节能管理体系，完善农机排放标准；最终实现农机节能减排的目标。另一方面利用5G、大数据、云计算、信息获取与决策等信息化技术，融合农业生产技术，研究智能农机装备或农业机器人，获取田间作物信息与构建决策模型，实现自主、精准、高效地从事耕作、播种、施肥、喷药、灌溉与收获等农业生产活动。</w:t>
            </w:r>
          </w:p>
          <w:p w14:paraId="2087B099">
            <w:pPr>
              <w:snapToGrid w:val="0"/>
              <w:spacing w:line="312" w:lineRule="auto"/>
              <w:ind w:firstLine="560" w:firstLineChars="200"/>
              <w:rPr>
                <w:rFonts w:hint="eastAsia" w:ascii="仿宋" w:hAnsi="仿宋" w:eastAsia="仿宋" w:cs="Times New Roman"/>
                <w:spacing w:val="1"/>
                <w:kern w:val="0"/>
                <w:sz w:val="32"/>
                <w:szCs w:val="32"/>
              </w:rPr>
            </w:pPr>
            <w:r>
              <w:rPr>
                <w:rFonts w:hint="eastAsia" w:ascii="仿宋" w:hAnsi="仿宋" w:eastAsia="仿宋" w:cs="仿宋"/>
                <w:kern w:val="0"/>
                <w:sz w:val="28"/>
                <w:szCs w:val="28"/>
              </w:rPr>
              <w:t>拟通过本主题，纳真知灼见，聚学术资源，希望大家能为农机节能减排与农业信息化技术寻求新思路，为“双碳”目标的实现贡献一份智慧与力量。</w:t>
            </w:r>
          </w:p>
        </w:tc>
      </w:tr>
      <w:tr w14:paraId="65608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jc w:val="center"/>
        </w:trPr>
        <w:tc>
          <w:tcPr>
            <w:tcW w:w="8226" w:type="dxa"/>
            <w:vAlign w:val="center"/>
          </w:tcPr>
          <w:p w14:paraId="488ADC2E">
            <w:pPr>
              <w:spacing w:before="120" w:beforeLines="50" w:after="120"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122DB90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1.复式、高效、电动农机装备设计</w:t>
            </w:r>
          </w:p>
          <w:p w14:paraId="7F1F7BE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2.节种节水节能节肥节药的农机化技术</w:t>
            </w:r>
          </w:p>
          <w:p w14:paraId="75E2637A">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3.农业机器人应用方案设计</w:t>
            </w:r>
          </w:p>
          <w:p w14:paraId="090F2FA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4.农业信息获取与决策支持系统设计</w:t>
            </w:r>
          </w:p>
          <w:p w14:paraId="26A364D8">
            <w:pPr>
              <w:snapToGrid w:val="0"/>
              <w:spacing w:line="312" w:lineRule="auto"/>
              <w:rPr>
                <w:rFonts w:hint="eastAsia" w:ascii="仿宋" w:hAnsi="仿宋" w:eastAsia="仿宋" w:cs="Times New Roman"/>
                <w:spacing w:val="1"/>
                <w:kern w:val="0"/>
                <w:sz w:val="32"/>
                <w:szCs w:val="32"/>
              </w:rPr>
            </w:pPr>
            <w:r>
              <w:rPr>
                <w:rFonts w:hint="eastAsia" w:ascii="仿宋" w:hAnsi="仿宋" w:eastAsia="仿宋" w:cs="仿宋"/>
                <w:kern w:val="0"/>
                <w:sz w:val="28"/>
                <w:szCs w:val="28"/>
              </w:rPr>
              <w:t>5.农业减排固碳监测集成技术</w:t>
            </w:r>
          </w:p>
        </w:tc>
      </w:tr>
    </w:tbl>
    <w:p w14:paraId="43A0281F">
      <w:pPr>
        <w:spacing w:line="420" w:lineRule="exact"/>
        <w:rPr>
          <w:rFonts w:hint="eastAsia" w:ascii="仿宋" w:hAnsi="仿宋" w:eastAsia="仿宋" w:cs="Times New Roman"/>
          <w:sz w:val="32"/>
          <w:szCs w:val="32"/>
        </w:rPr>
        <w:sectPr>
          <w:footerReference r:id="rId3" w:type="default"/>
          <w:pgSz w:w="11907" w:h="16839"/>
          <w:pgMar w:top="1428" w:right="1785" w:bottom="1394" w:left="1785" w:header="0" w:footer="1233" w:gutter="0"/>
          <w:cols w:space="720" w:num="1"/>
        </w:sectPr>
      </w:pPr>
    </w:p>
    <w:p w14:paraId="72300B12">
      <w:pPr>
        <w:snapToGrid w:val="0"/>
        <w:spacing w:before="156" w:beforeLines="50" w:after="156"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rPr>
        <w:t>5（</w:t>
      </w:r>
      <w:r>
        <w:rPr>
          <w:rFonts w:ascii="仿宋" w:hAnsi="仿宋" w:eastAsia="仿宋" w:cs="仿宋_GB2312"/>
          <w:b/>
          <w:bCs/>
          <w:sz w:val="32"/>
          <w:szCs w:val="32"/>
        </w:rPr>
        <w:t>赛道</w:t>
      </w:r>
      <w:r>
        <w:rPr>
          <w:rFonts w:hint="eastAsia" w:ascii="仿宋" w:hAnsi="仿宋" w:eastAsia="仿宋" w:cs="仿宋_GB2312"/>
          <w:b/>
          <w:bCs/>
          <w:sz w:val="32"/>
          <w:szCs w:val="32"/>
        </w:rPr>
        <w:t>七</w:t>
      </w:r>
      <w:r>
        <w:rPr>
          <w:rFonts w:ascii="仿宋" w:hAnsi="仿宋" w:eastAsia="仿宋" w:cs="仿宋_GB2312"/>
          <w:b/>
          <w:bCs/>
          <w:sz w:val="32"/>
          <w:szCs w:val="32"/>
        </w:rPr>
        <w:t>：</w:t>
      </w:r>
      <w:r>
        <w:rPr>
          <w:rFonts w:hint="eastAsia" w:ascii="仿宋" w:hAnsi="仿宋" w:eastAsia="仿宋" w:cs="仿宋_GB2312"/>
          <w:b/>
          <w:bCs/>
          <w:sz w:val="32"/>
          <w:szCs w:val="32"/>
        </w:rPr>
        <w:t>双碳+农业生产与环境）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5C2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8259B44">
            <w:pPr>
              <w:rPr>
                <w:rFonts w:hint="eastAsia" w:ascii="仿宋" w:hAnsi="仿宋" w:eastAsia="仿宋" w:cs="Times New Roman"/>
                <w:kern w:val="0"/>
                <w:sz w:val="32"/>
                <w:szCs w:val="32"/>
              </w:rPr>
            </w:pPr>
            <w:r>
              <w:rPr>
                <w:rFonts w:hint="eastAsia" w:ascii="仿宋" w:hAnsi="仿宋" w:eastAsia="仿宋" w:cs="仿宋"/>
                <w:b/>
                <w:bCs/>
                <w:kern w:val="0"/>
                <w:sz w:val="28"/>
                <w:szCs w:val="28"/>
              </w:rPr>
              <w:t>主题：农业减排固碳的支撑体系</w:t>
            </w:r>
          </w:p>
        </w:tc>
      </w:tr>
      <w:tr w14:paraId="42B7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7E729B9">
            <w:pPr>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5A38915F">
            <w:pPr>
              <w:snapToGrid w:val="0"/>
              <w:spacing w:line="312"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2022年6月30日，农业农村部、国家发展改革委公布《农业农村减排固碳实施方案》，《方案》提出，围绕种植业节能减排、畜牧业减排降碳、渔业减排增汇、农田固碳扩容、农机节能减排、可再生能源替代等六项任务，实施稻田甲烷减排、化肥减量增效、畜禽低碳减排、渔业减排增汇、农机绿色节能、农田碳汇提升、秸秆综合利用、可再生能源替代、科技创新支撑、监测体系建设等十大行动。农业农村部高度重视农业生态环境保护与农业农村减排固碳，与7部门联合出台《国家黑土地保护工程实施方案（2021—2025年）》提升农业生态系统碳汇。农业农村部也将进一步继续协同推进农业生态环境保护与农业农村减排固碳，加快推进相关重大工程、重大行动组织实施，推动农业领域减污降碳协同增效；推进山水林田湖草沙一体化保护和系统治理，继续推进高标准农田建设、黑土地保护工程、秸秆科学还田等，增加农田有机质含量，提升农业生态系统固碳增汇能力；同时加大农业绿色低碳科技创新力度，聚焦技术瓶颈和短板问题，加强关键核心技术攻关，加快成熟适用技术推广应用。</w:t>
            </w:r>
          </w:p>
          <w:p w14:paraId="472DCA52">
            <w:pPr>
              <w:snapToGrid w:val="0"/>
              <w:spacing w:line="312" w:lineRule="auto"/>
              <w:ind w:firstLine="560" w:firstLineChars="200"/>
              <w:rPr>
                <w:rFonts w:hint="eastAsia" w:ascii="仿宋" w:hAnsi="仿宋" w:eastAsia="仿宋" w:cs="Times New Roman"/>
                <w:kern w:val="0"/>
                <w:sz w:val="32"/>
                <w:szCs w:val="32"/>
              </w:rPr>
            </w:pPr>
            <w:r>
              <w:rPr>
                <w:rFonts w:hint="eastAsia" w:ascii="仿宋" w:hAnsi="仿宋" w:eastAsia="仿宋" w:cs="仿宋"/>
                <w:kern w:val="0"/>
                <w:sz w:val="28"/>
                <w:szCs w:val="28"/>
              </w:rPr>
              <w:t>拟通过本主题，探讨助力农业减排固碳的政策支撑体系、技术支撑体系等，探索农业减排固碳的实现路径。</w:t>
            </w:r>
          </w:p>
        </w:tc>
      </w:tr>
      <w:tr w14:paraId="78B0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8296" w:type="dxa"/>
          </w:tcPr>
          <w:p w14:paraId="13B6D85F">
            <w:pPr>
              <w:rPr>
                <w:rFonts w:hint="eastAsia" w:ascii="仿宋" w:hAnsi="仿宋" w:eastAsia="仿宋" w:cs="仿宋"/>
                <w:b/>
                <w:bCs/>
                <w:kern w:val="0"/>
                <w:sz w:val="28"/>
                <w:szCs w:val="28"/>
              </w:rPr>
            </w:pPr>
            <w:r>
              <w:rPr>
                <w:rFonts w:hint="eastAsia" w:ascii="仿宋" w:hAnsi="仿宋" w:eastAsia="仿宋" w:cs="仿宋"/>
                <w:b/>
                <w:bCs/>
                <w:kern w:val="0"/>
                <w:sz w:val="28"/>
                <w:szCs w:val="28"/>
              </w:rPr>
              <w:t>关注方向：</w:t>
            </w:r>
          </w:p>
          <w:p w14:paraId="68977F37">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1.农业碳汇项目管理</w:t>
            </w:r>
          </w:p>
          <w:p w14:paraId="16F83E7E">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2.农业废弃物综合利用技术</w:t>
            </w:r>
          </w:p>
          <w:p w14:paraId="4C8235A0">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3.农业减排固碳模式和长效机制</w:t>
            </w:r>
          </w:p>
          <w:p w14:paraId="3A500A66">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4.农业减排固碳支撑体系</w:t>
            </w:r>
          </w:p>
          <w:p w14:paraId="2BABCBA4">
            <w:pPr>
              <w:snapToGrid w:val="0"/>
              <w:spacing w:line="312" w:lineRule="auto"/>
              <w:rPr>
                <w:rFonts w:hint="eastAsia" w:ascii="仿宋" w:hAnsi="仿宋" w:eastAsia="仿宋" w:cs="仿宋"/>
                <w:kern w:val="0"/>
                <w:sz w:val="28"/>
                <w:szCs w:val="28"/>
              </w:rPr>
            </w:pPr>
            <w:r>
              <w:rPr>
                <w:rFonts w:hint="eastAsia" w:ascii="仿宋" w:hAnsi="仿宋" w:eastAsia="仿宋" w:cs="仿宋"/>
                <w:kern w:val="0"/>
                <w:sz w:val="28"/>
                <w:szCs w:val="28"/>
              </w:rPr>
              <w:t>5.农村可再生能源开发利用技术</w:t>
            </w:r>
          </w:p>
        </w:tc>
      </w:tr>
    </w:tbl>
    <w:p w14:paraId="14AB6FD6"/>
    <w:p w14:paraId="5BC4FE0C">
      <w:pPr>
        <w:snapToGrid w:val="0"/>
        <w:spacing w:before="156" w:beforeLines="50" w:after="156"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rPr>
        <w:t>6（赛道八：双碳+工程热化学）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DF6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2F52FE68">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主题：热化学反应过程碳减排</w:t>
            </w:r>
          </w:p>
        </w:tc>
      </w:tr>
      <w:tr w14:paraId="5702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1C352B5A">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ECCD1DE">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以热化学反应为主体的工业过程是碳排放的主要来源，因此称为超级碳排放源（CO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 xml:space="preserve"> super-emitters），涉及发电、工业供热、钢铁冶炼、有色冶炼、水泥/石灰等建材生产等。在我国，这些行业的CO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年排放占据总排放的90%以上，如2021年110亿吨排放的98.3亿吨源于热化学反应工业过程。因此，发展低碳热化学工业过程，推进工业节能降耗，可形成年数十亿吨的碳减排潜力。从工业生产的源头上减少碳排放是实现碳中和的最直接、最有效途径，以实现在维持社会经济发展的同时减少碳排放、推进“碳中和”。</w:t>
            </w:r>
          </w:p>
          <w:p w14:paraId="529C1800">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围绕以热化学反应为基础的各类工业过程，包括但不限于发电供热、钢铁有色、水泥建材等高排放行业，以及废物焚烧、煤焦化、燃料气化、燃料热解、原料裂解、焙烧煅烧、动力燃烧</w:t>
            </w:r>
            <w:r>
              <w:rPr>
                <w:rFonts w:ascii="Times New Roman" w:hAnsi="Times New Roman" w:eastAsia="仿宋" w:cs="Times New Roman"/>
                <w:kern w:val="0"/>
                <w:sz w:val="28"/>
                <w:szCs w:val="28"/>
              </w:rPr>
              <w:t>等</w:t>
            </w:r>
            <w:r>
              <w:rPr>
                <w:rFonts w:hint="eastAsia" w:ascii="Times New Roman" w:hAnsi="Times New Roman" w:eastAsia="仿宋" w:cs="Times New Roman"/>
                <w:kern w:val="0"/>
                <w:sz w:val="28"/>
                <w:szCs w:val="28"/>
              </w:rPr>
              <w:t>典型热化学反应过程，聚焦其发生的典型热化学反应</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通过创新反应途径和反应调控技术等的</w:t>
            </w:r>
            <w:r>
              <w:rPr>
                <w:rFonts w:hint="eastAsia" w:ascii="Times New Roman" w:hAnsi="Times New Roman" w:eastAsia="仿宋" w:cs="Times New Roman"/>
                <w:sz w:val="28"/>
                <w:szCs w:val="28"/>
              </w:rPr>
              <w:t>创新</w:t>
            </w:r>
            <w:r>
              <w:rPr>
                <w:rFonts w:hint="eastAsia" w:ascii="Times New Roman" w:hAnsi="Times New Roman" w:eastAsia="仿宋" w:cs="Times New Roman"/>
                <w:kern w:val="0"/>
                <w:sz w:val="28"/>
                <w:szCs w:val="28"/>
              </w:rPr>
              <w:t>，</w:t>
            </w:r>
            <w:r>
              <w:rPr>
                <w:rFonts w:ascii="Times New Roman" w:hAnsi="Times New Roman" w:eastAsia="仿宋" w:cs="Times New Roman"/>
                <w:sz w:val="28"/>
                <w:szCs w:val="28"/>
              </w:rPr>
              <w:t>提高能源生产</w:t>
            </w:r>
            <w:r>
              <w:rPr>
                <w:rFonts w:hint="eastAsia" w:ascii="Times New Roman" w:hAnsi="Times New Roman" w:eastAsia="仿宋" w:cs="Times New Roman"/>
                <w:sz w:val="28"/>
                <w:szCs w:val="28"/>
              </w:rPr>
              <w:t>及能源</w:t>
            </w:r>
            <w:r>
              <w:rPr>
                <w:rFonts w:ascii="Times New Roman" w:hAnsi="Times New Roman" w:eastAsia="仿宋" w:cs="Times New Roman"/>
                <w:sz w:val="28"/>
                <w:szCs w:val="28"/>
              </w:rPr>
              <w:t>利用效率</w:t>
            </w:r>
            <w:r>
              <w:rPr>
                <w:rFonts w:hint="eastAsia" w:ascii="Times New Roman" w:hAnsi="Times New Roman" w:eastAsia="仿宋" w:cs="Times New Roman"/>
                <w:sz w:val="28"/>
                <w:szCs w:val="28"/>
              </w:rPr>
              <w:t>，或降低燃料及各种形式能源消耗，可形成显著的二氧化碳减排效应</w:t>
            </w:r>
            <w:r>
              <w:rPr>
                <w:rFonts w:ascii="Times New Roman" w:hAnsi="Times New Roman" w:eastAsia="仿宋" w:cs="Times New Roman"/>
                <w:kern w:val="0"/>
                <w:sz w:val="28"/>
                <w:szCs w:val="28"/>
              </w:rPr>
              <w:t>。</w:t>
            </w:r>
          </w:p>
          <w:p w14:paraId="4951967C">
            <w:pPr>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拟通过本主题，</w:t>
            </w:r>
            <w:r>
              <w:rPr>
                <w:rFonts w:hint="eastAsia" w:ascii="Times New Roman" w:hAnsi="Times New Roman" w:eastAsia="仿宋" w:cs="Times New Roman"/>
                <w:kern w:val="0"/>
                <w:sz w:val="28"/>
                <w:szCs w:val="28"/>
              </w:rPr>
              <w:t>基于反应调控和重构，</w:t>
            </w:r>
            <w:r>
              <w:rPr>
                <w:rFonts w:ascii="Times New Roman" w:hAnsi="Times New Roman" w:eastAsia="仿宋" w:cs="Times New Roman"/>
                <w:kern w:val="0"/>
                <w:sz w:val="28"/>
                <w:szCs w:val="28"/>
              </w:rPr>
              <w:t>实现各类工业过程经流程再造、高温反应低温化、加热方式变革等途径形成的过程效率提升和能耗降低，</w:t>
            </w:r>
            <w:r>
              <w:rPr>
                <w:rFonts w:hint="eastAsia" w:ascii="Times New Roman" w:hAnsi="Times New Roman" w:eastAsia="仿宋" w:cs="Times New Roman"/>
                <w:kern w:val="0"/>
                <w:sz w:val="28"/>
                <w:szCs w:val="28"/>
              </w:rPr>
              <w:t>从源头上减少碳排放，贡献我国“碳中和”战略</w:t>
            </w:r>
            <w:r>
              <w:rPr>
                <w:rFonts w:ascii="Times New Roman" w:hAnsi="Times New Roman" w:eastAsia="仿宋" w:cs="Times New Roman"/>
                <w:kern w:val="0"/>
                <w:sz w:val="28"/>
                <w:szCs w:val="28"/>
              </w:rPr>
              <w:t>。</w:t>
            </w:r>
          </w:p>
          <w:p w14:paraId="5A06EEC2">
            <w:pPr>
              <w:snapToGrid w:val="0"/>
              <w:spacing w:line="312" w:lineRule="auto"/>
              <w:ind w:firstLine="560" w:firstLineChars="200"/>
              <w:rPr>
                <w:rFonts w:hint="eastAsia" w:ascii="仿宋" w:hAnsi="仿宋" w:eastAsia="仿宋" w:cs="仿宋"/>
                <w:kern w:val="0"/>
                <w:sz w:val="28"/>
                <w:szCs w:val="28"/>
              </w:rPr>
            </w:pPr>
          </w:p>
        </w:tc>
      </w:tr>
      <w:tr w14:paraId="00A3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13657960">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r>
              <w:rPr>
                <w:rFonts w:hint="eastAsia" w:ascii="仿宋" w:hAnsi="仿宋" w:eastAsia="仿宋" w:cs="仿宋"/>
                <w:b/>
                <w:bCs/>
                <w:kern w:val="0"/>
                <w:sz w:val="28"/>
                <w:szCs w:val="28"/>
              </w:rPr>
              <w:t>（不超过5项）</w:t>
            </w:r>
          </w:p>
          <w:p w14:paraId="36EE091B">
            <w:pPr>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 反应调控</w:t>
            </w:r>
          </w:p>
          <w:p w14:paraId="64E0113F">
            <w:pPr>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2. 反应温和化</w:t>
            </w:r>
          </w:p>
          <w:p w14:paraId="03027FD2">
            <w:pPr>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3. 传递强化</w:t>
            </w:r>
          </w:p>
          <w:p w14:paraId="11EE5E47">
            <w:pPr>
              <w:snapToGrid w:val="0"/>
              <w:spacing w:line="360" w:lineRule="auto"/>
              <w:rPr>
                <w:rFonts w:hint="eastAsia" w:ascii="仿宋" w:hAnsi="仿宋" w:eastAsia="仿宋" w:cs="仿宋"/>
                <w:kern w:val="0"/>
                <w:sz w:val="24"/>
                <w:szCs w:val="24"/>
              </w:rPr>
            </w:pPr>
            <w:r>
              <w:rPr>
                <w:rFonts w:hint="eastAsia" w:ascii="仿宋" w:hAnsi="仿宋" w:eastAsia="仿宋" w:cs="仿宋"/>
                <w:kern w:val="0"/>
                <w:sz w:val="28"/>
                <w:szCs w:val="28"/>
              </w:rPr>
              <w:t>4. 节能降耗</w:t>
            </w:r>
          </w:p>
        </w:tc>
      </w:tr>
    </w:tbl>
    <w:p w14:paraId="1D42CF23">
      <w:r>
        <w:br w:type="page"/>
      </w:r>
    </w:p>
    <w:p w14:paraId="271137B3">
      <w:pPr>
        <w:snapToGrid w:val="0"/>
        <w:spacing w:before="156" w:beforeLines="50" w:after="156"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rPr>
        <w:t>7（赛道八：双碳+工程热化学）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46F8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5A92A608">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主题：工业过程化石碳替代</w:t>
            </w:r>
          </w:p>
        </w:tc>
      </w:tr>
      <w:tr w14:paraId="0012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3FCE1DD2">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615AD608">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我国的工业过程仍主要依赖化石基碳氢燃料及原料（煤炭、石油、天然气、以及油页岩等），是形成过量二氧化碳排放的根源。另一方面，我国每年产生大量农林废弃物和轻工残渣，以及各种有机垃圾，相当于5亿吨左右标煤。最大限度地将现用的化石基碳氢燃料/原料替换为生物基碳氢物质，可有效减少工业过程化石基碳氢资源的消耗，形成显著碳替代能力。工业流程（如发电、工业热、炼铁、水泥、石灰等许多能源密集型流程）的碳排放强度与所使用的燃料或原料密切相关。针对相同工艺，降低燃料或原料的化石碳强度是减少化石碳排放的简单解决方案。通过使用低碳或零碳强度的非化石碳基燃料和原料（生物质、有机废物等</w:t>
            </w:r>
            <w:r>
              <w:rPr>
                <w:rFonts w:hint="eastAsia" w:ascii="Times New Roman" w:hAnsi="Times New Roman" w:eastAsia="仿宋" w:cs="Times New Roman"/>
                <w:sz w:val="28"/>
                <w:szCs w:val="28"/>
              </w:rPr>
              <w:t>可再生碳</w:t>
            </w:r>
            <w:r>
              <w:rPr>
                <w:rFonts w:hint="eastAsia" w:ascii="Times New Roman" w:hAnsi="Times New Roman" w:eastAsia="仿宋" w:cs="Times New Roman"/>
                <w:kern w:val="0"/>
                <w:sz w:val="28"/>
                <w:szCs w:val="28"/>
              </w:rPr>
              <w:t>），代替上述高碳强度的燃料和原料，以此形成</w:t>
            </w:r>
            <w:r>
              <w:rPr>
                <w:rFonts w:hint="eastAsia" w:ascii="Times New Roman" w:hAnsi="Times New Roman" w:eastAsia="仿宋" w:cs="Times New Roman"/>
                <w:sz w:val="28"/>
                <w:szCs w:val="28"/>
              </w:rPr>
              <w:t>的任何技术升级、改造和更新的创新及设计，都可</w:t>
            </w:r>
            <w:r>
              <w:rPr>
                <w:rFonts w:hint="eastAsia" w:ascii="Times New Roman" w:hAnsi="Times New Roman" w:eastAsia="仿宋" w:cs="Times New Roman"/>
                <w:kern w:val="0"/>
                <w:sz w:val="28"/>
                <w:szCs w:val="28"/>
              </w:rPr>
              <w:t>实现</w:t>
            </w:r>
            <w:r>
              <w:rPr>
                <w:rFonts w:hint="eastAsia" w:ascii="Times New Roman" w:hAnsi="Times New Roman" w:eastAsia="仿宋" w:cs="Times New Roman"/>
                <w:sz w:val="28"/>
                <w:szCs w:val="28"/>
              </w:rPr>
              <w:t>对化石基碳燃料、碳原料的有效替代</w:t>
            </w:r>
            <w:r>
              <w:rPr>
                <w:rFonts w:hint="eastAsia" w:ascii="Times New Roman" w:hAnsi="Times New Roman" w:eastAsia="仿宋" w:cs="Times New Roman"/>
                <w:kern w:val="0"/>
                <w:sz w:val="28"/>
                <w:szCs w:val="28"/>
              </w:rPr>
              <w:t>。</w:t>
            </w:r>
          </w:p>
          <w:p w14:paraId="74D1DB74">
            <w:pPr>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拟通过本主题，</w:t>
            </w:r>
            <w:r>
              <w:rPr>
                <w:rFonts w:hint="eastAsia" w:ascii="Times New Roman" w:hAnsi="Times New Roman" w:eastAsia="仿宋" w:cs="Times New Roman"/>
                <w:kern w:val="0"/>
                <w:sz w:val="28"/>
                <w:szCs w:val="28"/>
              </w:rPr>
              <w:t>利用生物质、有机废物等可再生及废弃碳基能源及原料替代工业过程使用的化石基碳氢能源及原料，通过对化石碳的替代而大幅减少</w:t>
            </w:r>
            <w:r>
              <w:rPr>
                <w:rFonts w:ascii="Times New Roman" w:hAnsi="Times New Roman" w:eastAsia="仿宋" w:cs="Times New Roman"/>
                <w:kern w:val="0"/>
                <w:sz w:val="28"/>
                <w:szCs w:val="28"/>
              </w:rPr>
              <w:t>我国</w:t>
            </w:r>
            <w:r>
              <w:rPr>
                <w:rFonts w:hint="eastAsia" w:ascii="Times New Roman" w:hAnsi="Times New Roman" w:eastAsia="仿宋" w:cs="Times New Roman"/>
                <w:kern w:val="0"/>
                <w:sz w:val="28"/>
                <w:szCs w:val="28"/>
              </w:rPr>
              <w:t>热化学反应工业过程的</w:t>
            </w:r>
            <w:r>
              <w:rPr>
                <w:rFonts w:ascii="Times New Roman" w:hAnsi="Times New Roman" w:eastAsia="仿宋" w:cs="Times New Roman"/>
                <w:kern w:val="0"/>
                <w:sz w:val="28"/>
                <w:szCs w:val="28"/>
              </w:rPr>
              <w:t>碳排放。</w:t>
            </w:r>
          </w:p>
          <w:p w14:paraId="31DCD638">
            <w:pPr>
              <w:snapToGrid w:val="0"/>
              <w:spacing w:line="312" w:lineRule="auto"/>
              <w:ind w:firstLine="560" w:firstLineChars="200"/>
              <w:rPr>
                <w:rFonts w:hint="eastAsia" w:ascii="仿宋" w:hAnsi="仿宋" w:eastAsia="仿宋" w:cs="仿宋"/>
                <w:kern w:val="0"/>
                <w:sz w:val="28"/>
                <w:szCs w:val="28"/>
              </w:rPr>
            </w:pPr>
          </w:p>
        </w:tc>
      </w:tr>
      <w:tr w14:paraId="229A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7395266A">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r>
              <w:rPr>
                <w:rFonts w:hint="eastAsia" w:ascii="仿宋" w:hAnsi="仿宋" w:eastAsia="仿宋" w:cs="仿宋"/>
                <w:b/>
                <w:bCs/>
                <w:kern w:val="0"/>
                <w:sz w:val="28"/>
                <w:szCs w:val="28"/>
              </w:rPr>
              <w:t>（不超过5项）</w:t>
            </w:r>
          </w:p>
          <w:p w14:paraId="3BEFB2CF">
            <w:pPr>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等线" w:hAnsi="等线" w:eastAsia="等线" w:cs="Times New Roman"/>
                <w:sz w:val="22"/>
                <w:szCs w:val="24"/>
              </w:rPr>
              <w:t xml:space="preserve"> </w:t>
            </w:r>
            <w:r>
              <w:rPr>
                <w:rFonts w:hint="eastAsia" w:ascii="仿宋" w:hAnsi="仿宋" w:eastAsia="仿宋" w:cs="仿宋"/>
                <w:kern w:val="0"/>
                <w:sz w:val="28"/>
                <w:szCs w:val="24"/>
              </w:rPr>
              <w:t>化石燃料替代</w:t>
            </w:r>
          </w:p>
          <w:p w14:paraId="75AB91E0">
            <w:pPr>
              <w:snapToGrid w:val="0"/>
              <w:spacing w:line="360" w:lineRule="auto"/>
              <w:rPr>
                <w:rFonts w:hint="eastAsia" w:ascii="仿宋" w:hAnsi="仿宋" w:eastAsia="仿宋" w:cs="仿宋"/>
                <w:kern w:val="0"/>
                <w:sz w:val="28"/>
                <w:szCs w:val="24"/>
              </w:rPr>
            </w:pPr>
            <w:r>
              <w:rPr>
                <w:rFonts w:hint="eastAsia" w:ascii="仿宋" w:hAnsi="仿宋" w:eastAsia="仿宋" w:cs="仿宋"/>
                <w:kern w:val="0"/>
                <w:sz w:val="28"/>
                <w:szCs w:val="28"/>
              </w:rPr>
              <w:t>2.</w:t>
            </w:r>
            <w:r>
              <w:rPr>
                <w:rFonts w:hint="eastAsia" w:ascii="等线" w:hAnsi="等线" w:eastAsia="等线" w:cs="Times New Roman"/>
                <w:sz w:val="22"/>
                <w:szCs w:val="24"/>
              </w:rPr>
              <w:t xml:space="preserve"> </w:t>
            </w:r>
            <w:r>
              <w:rPr>
                <w:rFonts w:hint="eastAsia" w:ascii="仿宋" w:hAnsi="仿宋" w:eastAsia="仿宋" w:cs="仿宋"/>
                <w:kern w:val="0"/>
                <w:sz w:val="28"/>
                <w:szCs w:val="24"/>
              </w:rPr>
              <w:t>化石碳氢原料替代</w:t>
            </w:r>
          </w:p>
          <w:p w14:paraId="5208470B">
            <w:pPr>
              <w:snapToGrid w:val="0"/>
              <w:spacing w:line="360" w:lineRule="auto"/>
              <w:rPr>
                <w:rFonts w:hint="eastAsia" w:ascii="仿宋" w:hAnsi="仿宋" w:eastAsia="仿宋" w:cs="仿宋"/>
                <w:kern w:val="0"/>
                <w:sz w:val="24"/>
                <w:szCs w:val="24"/>
              </w:rPr>
            </w:pPr>
            <w:r>
              <w:rPr>
                <w:rFonts w:hint="eastAsia" w:ascii="仿宋" w:hAnsi="仿宋" w:eastAsia="仿宋" w:cs="仿宋"/>
                <w:kern w:val="0"/>
                <w:sz w:val="28"/>
                <w:szCs w:val="24"/>
              </w:rPr>
              <w:t>3. 化石碳材料替代</w:t>
            </w:r>
          </w:p>
        </w:tc>
      </w:tr>
    </w:tbl>
    <w:p w14:paraId="1601B0BA">
      <w:r>
        <w:br w:type="page"/>
      </w:r>
    </w:p>
    <w:p w14:paraId="59E57B67">
      <w:pPr>
        <w:snapToGrid w:val="0"/>
        <w:spacing w:before="156" w:beforeLines="50" w:after="156"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rPr>
        <w:t>38（赛道八：双碳+工程热化学）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EAE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53BC0239">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主题：绿色低碳工程热化学</w:t>
            </w:r>
          </w:p>
        </w:tc>
      </w:tr>
      <w:tr w14:paraId="653A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28863627">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3FD85002">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绿电，指的是在生产电力的过程中，二氧化碳排放量为零或趋近于零的电。相较于其他方式（如火力发电）所生产的电力，对于生态环境的碳排放影响低</w:t>
            </w:r>
            <w:r>
              <w:rPr>
                <w:rFonts w:hint="eastAsia" w:ascii="仿宋" w:hAnsi="仿宋" w:eastAsia="仿宋" w:cs="仿宋"/>
                <w:kern w:val="0"/>
                <w:sz w:val="28"/>
                <w:szCs w:val="28"/>
              </w:rPr>
              <w:t>，具有清洁、可持续的特点。绿氢，则通常指依托电解水技术，利用绿电驱动电解槽分解水分子而产生的氢气。这一过程不产生碳排放，因此被称为“绿氢”。</w:t>
            </w:r>
            <w:r>
              <w:rPr>
                <w:rFonts w:hint="eastAsia" w:ascii="Times New Roman" w:hAnsi="Times New Roman" w:eastAsia="仿宋" w:cs="Times New Roman"/>
                <w:kern w:val="0"/>
                <w:sz w:val="28"/>
                <w:szCs w:val="28"/>
              </w:rPr>
              <w:t>在能源转型和低碳发展要求的大背景下，依据更广泛的“绿色能源”内涵，利用</w:t>
            </w:r>
            <w:r>
              <w:rPr>
                <w:rFonts w:ascii="Times New Roman" w:hAnsi="Times New Roman" w:eastAsia="仿宋" w:cs="Times New Roman"/>
                <w:kern w:val="0"/>
                <w:sz w:val="28"/>
                <w:szCs w:val="28"/>
              </w:rPr>
              <w:t>风、</w:t>
            </w:r>
            <w:r>
              <w:rPr>
                <w:rFonts w:hint="eastAsia" w:ascii="Times New Roman" w:hAnsi="Times New Roman" w:eastAsia="仿宋" w:cs="Times New Roman"/>
                <w:kern w:val="0"/>
                <w:sz w:val="28"/>
                <w:szCs w:val="28"/>
              </w:rPr>
              <w:t>光、</w:t>
            </w:r>
            <w:r>
              <w:rPr>
                <w:rFonts w:ascii="Times New Roman" w:hAnsi="Times New Roman" w:eastAsia="仿宋" w:cs="Times New Roman"/>
                <w:kern w:val="0"/>
                <w:sz w:val="28"/>
                <w:szCs w:val="28"/>
              </w:rPr>
              <w:t>水、生物质、</w:t>
            </w:r>
            <w:r>
              <w:rPr>
                <w:rFonts w:hint="eastAsia" w:ascii="Times New Roman" w:hAnsi="Times New Roman" w:eastAsia="仿宋" w:cs="Times New Roman"/>
                <w:kern w:val="0"/>
                <w:sz w:val="28"/>
                <w:szCs w:val="28"/>
              </w:rPr>
              <w:t>有机废物、</w:t>
            </w:r>
            <w:r>
              <w:rPr>
                <w:rFonts w:ascii="Times New Roman" w:hAnsi="Times New Roman" w:eastAsia="仿宋" w:cs="Times New Roman"/>
                <w:kern w:val="0"/>
                <w:sz w:val="28"/>
                <w:szCs w:val="28"/>
              </w:rPr>
              <w:t>地热、海洋</w:t>
            </w:r>
            <w:r>
              <w:rPr>
                <w:rFonts w:hint="eastAsia" w:ascii="Times New Roman" w:hAnsi="Times New Roman" w:eastAsia="仿宋" w:cs="Times New Roman"/>
                <w:kern w:val="0"/>
                <w:sz w:val="28"/>
                <w:szCs w:val="28"/>
              </w:rPr>
              <w:t>能</w:t>
            </w:r>
            <w:r>
              <w:rPr>
                <w:rFonts w:ascii="Times New Roman" w:hAnsi="Times New Roman" w:eastAsia="仿宋" w:cs="Times New Roman"/>
                <w:kern w:val="0"/>
                <w:sz w:val="28"/>
                <w:szCs w:val="28"/>
              </w:rPr>
              <w:t>等</w:t>
            </w:r>
            <w:r>
              <w:rPr>
                <w:rFonts w:hint="eastAsia" w:ascii="Times New Roman" w:hAnsi="Times New Roman" w:eastAsia="仿宋" w:cs="Times New Roman"/>
                <w:kern w:val="0"/>
                <w:sz w:val="28"/>
                <w:szCs w:val="28"/>
              </w:rPr>
              <w:t>非化石热、电、氢等绿色或非化石能源替代化石基的热、电和氢，以及利用低碳燃料/原料替代高碳燃料/原料，如使用氢气、烷烃、合成气等替代焦炭、半焦等代表的高碳反应物，在</w:t>
            </w:r>
            <w:r>
              <w:rPr>
                <w:rFonts w:ascii="Times New Roman" w:hAnsi="Times New Roman" w:eastAsia="仿宋" w:cs="Times New Roman"/>
                <w:kern w:val="0"/>
                <w:sz w:val="28"/>
                <w:szCs w:val="28"/>
              </w:rPr>
              <w:t>冶金、化工、建材</w:t>
            </w:r>
            <w:r>
              <w:rPr>
                <w:rFonts w:hint="eastAsia" w:ascii="Times New Roman" w:hAnsi="Times New Roman" w:eastAsia="仿宋" w:cs="Times New Roman"/>
                <w:kern w:val="0"/>
                <w:sz w:val="28"/>
                <w:szCs w:val="28"/>
              </w:rPr>
              <w:t>、动力装备等领域开拓发展新一代</w:t>
            </w:r>
            <w:r>
              <w:rPr>
                <w:rFonts w:ascii="Times New Roman" w:hAnsi="Times New Roman" w:eastAsia="仿宋" w:cs="Times New Roman"/>
                <w:kern w:val="0"/>
                <w:sz w:val="28"/>
                <w:szCs w:val="28"/>
              </w:rPr>
              <w:t>热化学反应</w:t>
            </w:r>
            <w:r>
              <w:rPr>
                <w:rFonts w:hint="eastAsia" w:ascii="Times New Roman" w:hAnsi="Times New Roman" w:eastAsia="仿宋" w:cs="Times New Roman"/>
                <w:kern w:val="0"/>
                <w:sz w:val="28"/>
                <w:szCs w:val="28"/>
              </w:rPr>
              <w:t>技术与过程，为在保持产能规模及其不断增长的前提下，有效降低我国热化学反应工业过程碳排放强度提供关键技术。</w:t>
            </w:r>
          </w:p>
          <w:p w14:paraId="68822E65">
            <w:pPr>
              <w:snapToGrid w:val="0"/>
              <w:spacing w:line="312" w:lineRule="auto"/>
              <w:ind w:firstLine="560" w:firstLineChars="200"/>
              <w:rPr>
                <w:rFonts w:hint="eastAsia" w:ascii="仿宋" w:hAnsi="仿宋" w:eastAsia="仿宋" w:cs="仿宋"/>
                <w:kern w:val="0"/>
                <w:sz w:val="28"/>
                <w:szCs w:val="28"/>
              </w:rPr>
            </w:pPr>
            <w:r>
              <w:rPr>
                <w:rFonts w:hint="eastAsia" w:ascii="Times New Roman" w:hAnsi="Times New Roman" w:eastAsia="仿宋" w:cs="Times New Roman"/>
                <w:kern w:val="0"/>
                <w:sz w:val="28"/>
                <w:szCs w:val="28"/>
              </w:rPr>
              <w:t>拟通过本主题，实现非化石绿色能源、以及低碳能源或原料在各类热化学反应工业过程中对传统高碳强度反应物和热、电等能源的替代，有效降低我国热化学工业过程的碳排放强度。</w:t>
            </w:r>
          </w:p>
        </w:tc>
      </w:tr>
      <w:tr w14:paraId="03D5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1D8E5BA4">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r>
              <w:rPr>
                <w:rFonts w:hint="eastAsia" w:ascii="仿宋" w:hAnsi="仿宋" w:eastAsia="仿宋" w:cs="仿宋"/>
                <w:b/>
                <w:bCs/>
                <w:kern w:val="0"/>
                <w:sz w:val="28"/>
                <w:szCs w:val="28"/>
              </w:rPr>
              <w:t>（不超过5项）</w:t>
            </w:r>
          </w:p>
          <w:p w14:paraId="795E6E54">
            <w:pPr>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等线" w:hAnsi="等线" w:eastAsia="等线" w:cs="Times New Roman"/>
                <w:sz w:val="22"/>
                <w:szCs w:val="24"/>
              </w:rPr>
              <w:t xml:space="preserve"> </w:t>
            </w:r>
            <w:r>
              <w:rPr>
                <w:rFonts w:hint="eastAsia" w:ascii="仿宋" w:hAnsi="仿宋" w:eastAsia="仿宋" w:cs="仿宋"/>
                <w:kern w:val="0"/>
                <w:sz w:val="28"/>
                <w:szCs w:val="24"/>
              </w:rPr>
              <w:t>绿电绿氢</w:t>
            </w:r>
          </w:p>
          <w:p w14:paraId="36BB7EDB">
            <w:pPr>
              <w:snapToGrid w:val="0"/>
              <w:spacing w:line="360" w:lineRule="auto"/>
              <w:rPr>
                <w:rFonts w:hint="eastAsia" w:ascii="仿宋" w:hAnsi="仿宋" w:eastAsia="仿宋" w:cs="仿宋"/>
                <w:kern w:val="0"/>
                <w:sz w:val="28"/>
                <w:szCs w:val="24"/>
              </w:rPr>
            </w:pPr>
            <w:r>
              <w:rPr>
                <w:rFonts w:hint="eastAsia" w:ascii="仿宋" w:hAnsi="仿宋" w:eastAsia="仿宋" w:cs="仿宋"/>
                <w:kern w:val="0"/>
                <w:sz w:val="28"/>
                <w:szCs w:val="28"/>
              </w:rPr>
              <w:t>2.</w:t>
            </w:r>
            <w:r>
              <w:rPr>
                <w:rFonts w:hint="eastAsia" w:ascii="等线" w:hAnsi="等线" w:eastAsia="等线" w:cs="Times New Roman"/>
                <w:sz w:val="22"/>
                <w:szCs w:val="24"/>
              </w:rPr>
              <w:t xml:space="preserve"> </w:t>
            </w:r>
            <w:r>
              <w:rPr>
                <w:rFonts w:hint="eastAsia" w:ascii="仿宋" w:hAnsi="仿宋" w:eastAsia="仿宋" w:cs="仿宋"/>
                <w:kern w:val="0"/>
                <w:sz w:val="28"/>
                <w:szCs w:val="24"/>
              </w:rPr>
              <w:t>低碳物料</w:t>
            </w:r>
          </w:p>
          <w:p w14:paraId="51FE7897">
            <w:pPr>
              <w:snapToGrid w:val="0"/>
              <w:spacing w:line="360" w:lineRule="auto"/>
              <w:rPr>
                <w:rFonts w:hint="eastAsia" w:ascii="仿宋" w:hAnsi="仿宋" w:eastAsia="仿宋" w:cs="仿宋"/>
                <w:kern w:val="0"/>
                <w:sz w:val="28"/>
                <w:szCs w:val="24"/>
              </w:rPr>
            </w:pPr>
            <w:r>
              <w:rPr>
                <w:rFonts w:hint="eastAsia" w:ascii="仿宋" w:hAnsi="仿宋" w:eastAsia="仿宋" w:cs="仿宋"/>
                <w:kern w:val="0"/>
                <w:sz w:val="28"/>
                <w:szCs w:val="24"/>
              </w:rPr>
              <w:t>3.</w:t>
            </w:r>
            <w:r>
              <w:rPr>
                <w:rFonts w:hint="eastAsia" w:ascii="等线" w:hAnsi="等线" w:eastAsia="等线" w:cs="Times New Roman"/>
                <w:sz w:val="22"/>
                <w:szCs w:val="24"/>
              </w:rPr>
              <w:t xml:space="preserve"> </w:t>
            </w:r>
            <w:r>
              <w:rPr>
                <w:rFonts w:hint="eastAsia" w:ascii="仿宋" w:hAnsi="仿宋" w:eastAsia="仿宋" w:cs="仿宋"/>
                <w:kern w:val="0"/>
                <w:sz w:val="28"/>
                <w:szCs w:val="24"/>
              </w:rPr>
              <w:t>低碳反应</w:t>
            </w:r>
          </w:p>
          <w:p w14:paraId="2A651B50">
            <w:pPr>
              <w:snapToGrid w:val="0"/>
              <w:spacing w:line="360" w:lineRule="auto"/>
              <w:rPr>
                <w:rFonts w:hint="eastAsia" w:ascii="仿宋" w:hAnsi="仿宋" w:eastAsia="仿宋" w:cs="仿宋"/>
                <w:kern w:val="0"/>
                <w:sz w:val="24"/>
              </w:rPr>
            </w:pPr>
            <w:r>
              <w:rPr>
                <w:rFonts w:hint="eastAsia" w:ascii="仿宋" w:hAnsi="仿宋" w:eastAsia="仿宋" w:cs="仿宋"/>
                <w:kern w:val="0"/>
                <w:sz w:val="28"/>
                <w:szCs w:val="24"/>
              </w:rPr>
              <w:t>4. 富氢冶金</w:t>
            </w:r>
          </w:p>
        </w:tc>
      </w:tr>
    </w:tbl>
    <w:p w14:paraId="346D360F">
      <w:r>
        <w:br w:type="page"/>
      </w:r>
    </w:p>
    <w:p w14:paraId="5CBFB065">
      <w:pPr>
        <w:snapToGrid w:val="0"/>
        <w:spacing w:before="156" w:beforeLines="50" w:after="156"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命题3</w:t>
      </w:r>
      <w:r>
        <w:rPr>
          <w:rFonts w:hint="eastAsia" w:ascii="仿宋" w:hAnsi="仿宋" w:eastAsia="仿宋" w:cs="仿宋_GB2312"/>
          <w:b/>
          <w:bCs/>
          <w:sz w:val="32"/>
          <w:szCs w:val="32"/>
        </w:rPr>
        <w:t>9（赛道八：双碳+工程热化学）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439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40DEEF74">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主题：资源循环工程热化学</w:t>
            </w:r>
          </w:p>
        </w:tc>
      </w:tr>
      <w:tr w14:paraId="2497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47AECD64">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180A522B">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我国的无机固废、高分子废物、工业排放气数量巨大，一方面由于环保的要求需要处置，另一方面其本身可通过化学反应再造，形成人类所需求的原料及产品，构成资源的循环利用，减少对化石基原料的使用，显著贡献“双碳”战略，支撑碳中和型社会的建设和发展。在传统的循环利用中，废弃材料被机械回收和物理加工，用于制造质量要求较低的产品。经过多次反复循环使用后，都会因材料特性丧失或质量下降而无法使用，化学回收可从分子层面解决这一问题。</w:t>
            </w:r>
          </w:p>
          <w:p w14:paraId="5EFEF11E">
            <w:pPr>
              <w:snapToGrid w:val="0"/>
              <w:spacing w:line="312"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kern w:val="0"/>
                <w:sz w:val="28"/>
                <w:szCs w:val="28"/>
              </w:rPr>
              <w:t>因此，针</w:t>
            </w:r>
            <w:r>
              <w:rPr>
                <w:rFonts w:ascii="Times New Roman" w:hAnsi="Times New Roman" w:eastAsia="仿宋" w:cs="Times New Roman"/>
                <w:kern w:val="0"/>
                <w:sz w:val="28"/>
                <w:szCs w:val="28"/>
              </w:rPr>
              <w:t>对</w:t>
            </w:r>
            <w:r>
              <w:rPr>
                <w:rFonts w:hint="eastAsia" w:ascii="Times New Roman" w:hAnsi="Times New Roman" w:eastAsia="仿宋" w:cs="Times New Roman"/>
                <w:kern w:val="0"/>
                <w:sz w:val="28"/>
                <w:szCs w:val="28"/>
              </w:rPr>
              <w:t>煤矸石、</w:t>
            </w:r>
            <w:r>
              <w:rPr>
                <w:rFonts w:ascii="Times New Roman" w:hAnsi="Times New Roman" w:eastAsia="仿宋" w:cs="Times New Roman"/>
                <w:kern w:val="0"/>
                <w:sz w:val="28"/>
                <w:szCs w:val="28"/>
              </w:rPr>
              <w:t>工业矿渣、低品位矿石</w:t>
            </w:r>
            <w:r>
              <w:rPr>
                <w:rFonts w:hint="eastAsia" w:ascii="Times New Roman" w:hAnsi="Times New Roman" w:eastAsia="仿宋" w:cs="Times New Roman"/>
                <w:kern w:val="0"/>
                <w:sz w:val="28"/>
                <w:szCs w:val="28"/>
              </w:rPr>
              <w:t>、建筑废物、交通废料</w:t>
            </w:r>
            <w:r>
              <w:rPr>
                <w:rFonts w:ascii="Times New Roman" w:hAnsi="Times New Roman" w:eastAsia="仿宋" w:cs="Times New Roman"/>
                <w:kern w:val="0"/>
                <w:sz w:val="28"/>
                <w:szCs w:val="28"/>
              </w:rPr>
              <w:t>等大宗无机</w:t>
            </w:r>
            <w:r>
              <w:rPr>
                <w:rFonts w:hint="eastAsia" w:ascii="Times New Roman" w:hAnsi="Times New Roman" w:eastAsia="仿宋" w:cs="Times New Roman"/>
                <w:kern w:val="0"/>
                <w:sz w:val="28"/>
                <w:szCs w:val="28"/>
              </w:rPr>
              <w:t>固废</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废旧汽车、家电、电子产品、电池及部件，工业排放气、重质废油废渣，废橡胶、废塑料等废弃高分子，</w:t>
            </w:r>
            <w:r>
              <w:rPr>
                <w:rFonts w:ascii="Times New Roman" w:hAnsi="Times New Roman" w:eastAsia="仿宋" w:cs="Times New Roman"/>
                <w:kern w:val="0"/>
                <w:sz w:val="28"/>
                <w:szCs w:val="28"/>
              </w:rPr>
              <w:t>以及城乡垃圾</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生物质废物等有机废弃物</w:t>
            </w:r>
            <w:r>
              <w:rPr>
                <w:rFonts w:hint="eastAsia" w:ascii="Times New Roman" w:hAnsi="Times New Roman" w:eastAsia="仿宋" w:cs="Times New Roman"/>
                <w:kern w:val="0"/>
                <w:sz w:val="28"/>
                <w:szCs w:val="28"/>
              </w:rPr>
              <w:t>，通过热化学反应途径实现对这些量大面广低劣资源的无害化处置并同时有效循环和利用为原料、材料、甚至终端产品，相关</w:t>
            </w:r>
            <w:r>
              <w:rPr>
                <w:rFonts w:hint="eastAsia" w:ascii="Times New Roman" w:hAnsi="Times New Roman" w:eastAsia="仿宋" w:cs="Times New Roman"/>
                <w:sz w:val="28"/>
                <w:szCs w:val="28"/>
              </w:rPr>
              <w:t>创新及设计都是“双碳”目标的科技支撑。</w:t>
            </w:r>
          </w:p>
          <w:p w14:paraId="75750042">
            <w:pPr>
              <w:snapToGrid w:val="0"/>
              <w:spacing w:line="312" w:lineRule="auto"/>
              <w:ind w:firstLine="560" w:firstLineChars="200"/>
              <w:rPr>
                <w:rFonts w:hint="eastAsia" w:ascii="仿宋" w:hAnsi="仿宋" w:eastAsia="仿宋" w:cs="仿宋"/>
                <w:kern w:val="0"/>
                <w:sz w:val="28"/>
                <w:szCs w:val="28"/>
              </w:rPr>
            </w:pPr>
            <w:r>
              <w:rPr>
                <w:rFonts w:hint="eastAsia" w:ascii="Times New Roman" w:hAnsi="Times New Roman" w:eastAsia="仿宋" w:cs="Times New Roman"/>
                <w:kern w:val="0"/>
                <w:sz w:val="28"/>
                <w:szCs w:val="28"/>
              </w:rPr>
              <w:t>拟通过本主题，实现各类无机/有机废物、工业排放气的热化学处置、转化及利用，以及催化等强化的热化学转化利用，实现资源的有效循环利用，通过“碳”的循环减少碳排放。</w:t>
            </w:r>
          </w:p>
        </w:tc>
      </w:tr>
      <w:tr w14:paraId="05BC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729AE48F">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r>
              <w:rPr>
                <w:rFonts w:hint="eastAsia" w:ascii="仿宋" w:hAnsi="仿宋" w:eastAsia="仿宋" w:cs="仿宋"/>
                <w:b/>
                <w:bCs/>
                <w:kern w:val="0"/>
                <w:sz w:val="28"/>
                <w:szCs w:val="28"/>
              </w:rPr>
              <w:t>（不超过5项）</w:t>
            </w:r>
          </w:p>
          <w:p w14:paraId="3B3F4812">
            <w:pPr>
              <w:snapToGrid w:val="0"/>
              <w:spacing w:line="360" w:lineRule="auto"/>
              <w:rPr>
                <w:rFonts w:hint="eastAsia" w:ascii="仿宋" w:hAnsi="仿宋" w:eastAsia="仿宋" w:cs="仿宋"/>
                <w:kern w:val="0"/>
                <w:sz w:val="24"/>
              </w:rPr>
            </w:pPr>
            <w:r>
              <w:rPr>
                <w:rFonts w:hint="eastAsia" w:ascii="仿宋" w:hAnsi="仿宋" w:eastAsia="仿宋" w:cs="仿宋"/>
                <w:kern w:val="0"/>
                <w:sz w:val="28"/>
                <w:szCs w:val="28"/>
              </w:rPr>
              <w:t>1.</w:t>
            </w:r>
            <w:r>
              <w:rPr>
                <w:rFonts w:hint="eastAsia" w:ascii="等线" w:hAnsi="等线" w:eastAsia="等线" w:cs="Times New Roman"/>
                <w:sz w:val="22"/>
                <w:szCs w:val="24"/>
              </w:rPr>
              <w:t xml:space="preserve"> </w:t>
            </w:r>
            <w:r>
              <w:rPr>
                <w:rFonts w:hint="eastAsia" w:ascii="仿宋" w:hAnsi="仿宋" w:eastAsia="仿宋" w:cs="仿宋"/>
                <w:kern w:val="0"/>
                <w:sz w:val="28"/>
                <w:szCs w:val="24"/>
              </w:rPr>
              <w:t>各种废弃物、排放气的热化学处置、转化及利用</w:t>
            </w:r>
          </w:p>
        </w:tc>
      </w:tr>
    </w:tbl>
    <w:p w14:paraId="342FB59A">
      <w:r>
        <w:br w:type="page"/>
      </w:r>
    </w:p>
    <w:p w14:paraId="2556922A">
      <w:pPr>
        <w:snapToGrid w:val="0"/>
        <w:spacing w:before="156" w:beforeLines="50" w:after="156" w:afterLines="50" w:line="500" w:lineRule="exact"/>
        <w:jc w:val="center"/>
        <w:rPr>
          <w:rFonts w:hint="eastAsia" w:ascii="仿宋" w:hAnsi="仿宋" w:eastAsia="仿宋" w:cs="仿宋_GB2312"/>
          <w:b/>
          <w:bCs/>
          <w:sz w:val="32"/>
          <w:szCs w:val="32"/>
        </w:rPr>
      </w:pPr>
      <w:r>
        <w:rPr>
          <w:rFonts w:ascii="仿宋" w:hAnsi="仿宋" w:eastAsia="仿宋" w:cs="仿宋_GB2312"/>
          <w:b/>
          <w:bCs/>
          <w:sz w:val="32"/>
          <w:szCs w:val="32"/>
        </w:rPr>
        <w:t>命题</w:t>
      </w:r>
      <w:r>
        <w:rPr>
          <w:rFonts w:hint="eastAsia" w:ascii="仿宋" w:hAnsi="仿宋" w:eastAsia="仿宋" w:cs="仿宋_GB2312"/>
          <w:b/>
          <w:bCs/>
          <w:sz w:val="32"/>
          <w:szCs w:val="32"/>
        </w:rPr>
        <w:t>40（赛道八：双碳+工程热化学）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DD3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05321819">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主题：CCUS与前沿工程热化学</w:t>
            </w:r>
          </w:p>
        </w:tc>
      </w:tr>
      <w:tr w14:paraId="44B1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59370011">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rPr>
              <w:t>背景情况概述：</w:t>
            </w:r>
          </w:p>
          <w:p w14:paraId="2E0A80FE">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碳捕集利用与封存（CCUS）技术作为碳中和技术组合不可或缺的组成部分，是实现《巴黎协定》温控目标的托底技术保障，是消纳化石基碳排放的有效途径。通过CCUS，将二氧化碳从包括能源生产的工业过程、以及大气中分离出来，再将浓缩的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注入地层实现永久封存或通过转化加以利用。这是一复杂的过程，大量涉及热化学反应科学及其工程化技术，如可利用化学链技术捕集CO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，而推进“炭”填埋、“炭”还田等形成碳循环、也必须依托热解制炭技术。地质封存的CO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在高温高压深地条件下必然会发生热化学反应，包括水和、矿化等。二氧化碳矿化本身就是热化学反应。</w:t>
            </w:r>
          </w:p>
          <w:p w14:paraId="64034A91">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同时，热化学反应科学与技术的发展也日新月异，不断展现许多前沿的新方法新技术，如通过焦耳热、等离子体诱发的热化学反应，形成了碳资源热化学转化的不少新兴产物生成规律。在深入热化学微观反应（或微元反应）的机理机制、动力学、量化描述等方面还几乎是空白，构成工程热化学科学的重要前沿基础方向，需要新突破。</w:t>
            </w:r>
          </w:p>
          <w:p w14:paraId="6D5082A7">
            <w:pPr>
              <w:snapToGrid w:val="0"/>
              <w:spacing w:line="312" w:lineRule="auto"/>
              <w:ind w:firstLine="560" w:firstLineChars="200"/>
              <w:rPr>
                <w:rFonts w:hint="eastAsia" w:ascii="仿宋" w:hAnsi="仿宋" w:eastAsia="仿宋" w:cs="仿宋"/>
                <w:kern w:val="0"/>
                <w:sz w:val="28"/>
                <w:szCs w:val="28"/>
              </w:rPr>
            </w:pPr>
            <w:r>
              <w:rPr>
                <w:rFonts w:hint="eastAsia" w:ascii="Times New Roman" w:hAnsi="Times New Roman" w:eastAsia="仿宋" w:cs="Times New Roman"/>
                <w:kern w:val="0"/>
                <w:sz w:val="28"/>
                <w:szCs w:val="28"/>
              </w:rPr>
              <w:t>拟通过本主题，覆盖二氧化碳捕集、封存和利用，以及前沿创新的热化学反应基础及其工程化技术的创新与设计，为碳封存过程的物质复杂演变提供热化学原理规律，推进热化学反应微观机理研究。</w:t>
            </w:r>
          </w:p>
        </w:tc>
      </w:tr>
      <w:tr w14:paraId="5EAF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5A8C10CD">
            <w:pPr>
              <w:snapToGrid w:val="0"/>
              <w:spacing w:before="156" w:beforeLines="50" w:after="156" w:afterLines="50"/>
              <w:rPr>
                <w:rFonts w:hint="eastAsia" w:ascii="仿宋" w:hAnsi="仿宋" w:eastAsia="仿宋" w:cs="仿宋"/>
                <w:b/>
                <w:bCs/>
                <w:kern w:val="0"/>
                <w:sz w:val="28"/>
                <w:szCs w:val="28"/>
              </w:rPr>
            </w:pPr>
            <w:r>
              <w:rPr>
                <w:rFonts w:hint="eastAsia" w:ascii="仿宋" w:hAnsi="仿宋" w:eastAsia="仿宋" w:cs="仿宋"/>
                <w:b/>
                <w:bCs/>
                <w:kern w:val="0"/>
                <w:sz w:val="28"/>
                <w:szCs w:val="28"/>
                <w:lang w:val="zh-TW"/>
              </w:rPr>
              <w:t>关注</w:t>
            </w:r>
            <w:r>
              <w:rPr>
                <w:rFonts w:hint="eastAsia" w:ascii="仿宋" w:hAnsi="仿宋" w:eastAsia="仿宋" w:cs="仿宋"/>
                <w:b/>
                <w:bCs/>
                <w:kern w:val="0"/>
                <w:sz w:val="28"/>
                <w:szCs w:val="28"/>
              </w:rPr>
              <w:t>方向</w:t>
            </w:r>
            <w:r>
              <w:rPr>
                <w:rFonts w:hint="eastAsia" w:ascii="仿宋" w:hAnsi="仿宋" w:eastAsia="仿宋" w:cs="仿宋"/>
                <w:b/>
                <w:bCs/>
                <w:kern w:val="0"/>
                <w:sz w:val="28"/>
                <w:szCs w:val="28"/>
                <w:lang w:val="zh-TW"/>
              </w:rPr>
              <w:t>：</w:t>
            </w:r>
            <w:r>
              <w:rPr>
                <w:rFonts w:hint="eastAsia" w:ascii="仿宋" w:hAnsi="仿宋" w:eastAsia="仿宋" w:cs="仿宋"/>
                <w:b/>
                <w:bCs/>
                <w:kern w:val="0"/>
                <w:sz w:val="28"/>
                <w:szCs w:val="28"/>
              </w:rPr>
              <w:t>（不超过5项）</w:t>
            </w:r>
          </w:p>
          <w:p w14:paraId="4A6D6D07">
            <w:pPr>
              <w:snapToGrid w:val="0"/>
              <w:spacing w:line="360" w:lineRule="auto"/>
              <w:rPr>
                <w:rFonts w:hint="eastAsia" w:ascii="仿宋" w:hAnsi="仿宋" w:eastAsia="仿宋" w:cs="仿宋"/>
                <w:kern w:val="0"/>
                <w:sz w:val="28"/>
                <w:szCs w:val="24"/>
              </w:rPr>
            </w:pPr>
            <w:r>
              <w:rPr>
                <w:rFonts w:hint="eastAsia" w:ascii="仿宋" w:hAnsi="仿宋" w:eastAsia="仿宋" w:cs="仿宋"/>
                <w:kern w:val="0"/>
                <w:sz w:val="28"/>
                <w:szCs w:val="28"/>
              </w:rPr>
              <w:t>1.</w:t>
            </w:r>
            <w:r>
              <w:rPr>
                <w:rFonts w:hint="eastAsia" w:ascii="等线" w:hAnsi="等线" w:eastAsia="等线" w:cs="Times New Roman"/>
                <w:sz w:val="22"/>
                <w:szCs w:val="24"/>
              </w:rPr>
              <w:t xml:space="preserve"> </w:t>
            </w:r>
            <w:r>
              <w:rPr>
                <w:rFonts w:hint="eastAsia" w:ascii="仿宋" w:hAnsi="仿宋" w:eastAsia="仿宋" w:cs="Times New Roman"/>
                <w:kern w:val="0"/>
                <w:sz w:val="28"/>
                <w:szCs w:val="24"/>
              </w:rPr>
              <w:t>CCUS中的热化学反应</w:t>
            </w:r>
          </w:p>
          <w:p w14:paraId="62FC763D">
            <w:pPr>
              <w:snapToGrid w:val="0"/>
              <w:spacing w:line="360" w:lineRule="auto"/>
              <w:rPr>
                <w:rFonts w:hint="eastAsia" w:ascii="仿宋" w:hAnsi="仿宋" w:eastAsia="仿宋" w:cs="仿宋"/>
                <w:kern w:val="0"/>
                <w:sz w:val="28"/>
                <w:szCs w:val="24"/>
              </w:rPr>
            </w:pPr>
            <w:r>
              <w:rPr>
                <w:rFonts w:hint="eastAsia" w:ascii="仿宋" w:hAnsi="仿宋" w:eastAsia="仿宋" w:cs="仿宋"/>
                <w:kern w:val="0"/>
                <w:sz w:val="28"/>
                <w:szCs w:val="28"/>
              </w:rPr>
              <w:t>2.</w:t>
            </w:r>
            <w:r>
              <w:rPr>
                <w:rFonts w:hint="eastAsia" w:ascii="等线" w:hAnsi="等线" w:eastAsia="等线" w:cs="Times New Roman"/>
                <w:sz w:val="22"/>
                <w:szCs w:val="24"/>
              </w:rPr>
              <w:t xml:space="preserve"> </w:t>
            </w:r>
            <w:r>
              <w:rPr>
                <w:rFonts w:hint="eastAsia" w:ascii="仿宋" w:hAnsi="仿宋" w:eastAsia="仿宋" w:cs="仿宋"/>
                <w:kern w:val="0"/>
                <w:sz w:val="28"/>
                <w:szCs w:val="24"/>
              </w:rPr>
              <w:t>生物碳汇</w:t>
            </w:r>
          </w:p>
          <w:p w14:paraId="0A50F40E">
            <w:pPr>
              <w:snapToGrid w:val="0"/>
              <w:spacing w:line="360" w:lineRule="auto"/>
              <w:rPr>
                <w:rFonts w:hint="eastAsia" w:ascii="仿宋" w:hAnsi="仿宋" w:eastAsia="仿宋" w:cs="仿宋"/>
                <w:kern w:val="0"/>
                <w:sz w:val="24"/>
              </w:rPr>
            </w:pPr>
            <w:r>
              <w:rPr>
                <w:rFonts w:hint="eastAsia" w:ascii="仿宋" w:hAnsi="仿宋" w:eastAsia="仿宋" w:cs="仿宋"/>
                <w:kern w:val="0"/>
                <w:sz w:val="28"/>
                <w:szCs w:val="24"/>
              </w:rPr>
              <w:t>3.</w:t>
            </w:r>
            <w:r>
              <w:rPr>
                <w:rFonts w:hint="eastAsia" w:ascii="等线" w:hAnsi="等线" w:eastAsia="等线" w:cs="Times New Roman"/>
                <w:sz w:val="22"/>
                <w:szCs w:val="24"/>
              </w:rPr>
              <w:t xml:space="preserve"> </w:t>
            </w:r>
            <w:r>
              <w:rPr>
                <w:rFonts w:hint="eastAsia" w:ascii="仿宋" w:hAnsi="仿宋" w:eastAsia="仿宋" w:cs="仿宋"/>
                <w:kern w:val="0"/>
                <w:sz w:val="28"/>
                <w:szCs w:val="24"/>
              </w:rPr>
              <w:t>新兴热化学反应</w:t>
            </w:r>
          </w:p>
        </w:tc>
      </w:tr>
    </w:tbl>
    <w:p w14:paraId="06415A75">
      <w:pPr>
        <w:spacing w:line="40" w:lineRule="exact"/>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600000000000000"/>
    <w:charset w:val="86"/>
    <w:family w:val="auto"/>
    <w:pitch w:val="default"/>
    <w:sig w:usb0="00000000" w:usb1="00000000" w:usb2="00000012" w:usb3="00000000" w:csb0="0016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67525">
    <w:pPr>
      <w:spacing w:line="186" w:lineRule="auto"/>
      <w:ind w:left="4124"/>
      <w:rPr>
        <w:rFonts w:ascii="Times New Roman" w:hAnsi="Times New Roman" w:eastAsia="宋体" w:cs="Times New Roman"/>
        <w:sz w:val="18"/>
        <w:szCs w:val="18"/>
      </w:rPr>
    </w:pPr>
    <w:r>
      <w:rPr>
        <w:rFonts w:ascii="Times New Roman" w:hAnsi="Times New Roman" w:eastAsia="Times New Roman" w:cs="Times New Roman"/>
        <w:sz w:val="18"/>
        <w:szCs w:val="18"/>
      </w:rPr>
      <w:t>4</w:t>
    </w:r>
    <w:r>
      <w:rPr>
        <w:rFonts w:hint="eastAsia" w:ascii="Times New Roman" w:hAnsi="Times New Roman" w:eastAsia="宋体" w:cs="Times New Roman"/>
        <w:sz w:val="18"/>
        <w:szCs w:val="18"/>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67BB">
    <w:pPr>
      <w:spacing w:line="186" w:lineRule="auto"/>
      <w:ind w:left="412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yOTkxMzdmMTE1NDYyMTA3OTViMWYxOWMyOTQzMDUifQ=="/>
  </w:docVars>
  <w:rsids>
    <w:rsidRoot w:val="314709E6"/>
    <w:rsid w:val="0001299D"/>
    <w:rsid w:val="000B380D"/>
    <w:rsid w:val="001428F1"/>
    <w:rsid w:val="001B10DC"/>
    <w:rsid w:val="003329C5"/>
    <w:rsid w:val="00480ACA"/>
    <w:rsid w:val="0049313B"/>
    <w:rsid w:val="00573F7A"/>
    <w:rsid w:val="00577A10"/>
    <w:rsid w:val="006C2248"/>
    <w:rsid w:val="00836EAC"/>
    <w:rsid w:val="00875853"/>
    <w:rsid w:val="009424A2"/>
    <w:rsid w:val="00AA042B"/>
    <w:rsid w:val="00BA3CA2"/>
    <w:rsid w:val="00C70AEE"/>
    <w:rsid w:val="00D13772"/>
    <w:rsid w:val="00E507AF"/>
    <w:rsid w:val="00E754BB"/>
    <w:rsid w:val="00F90537"/>
    <w:rsid w:val="00FF4527"/>
    <w:rsid w:val="314709E6"/>
    <w:rsid w:val="4DEC192B"/>
    <w:rsid w:val="69E8694F"/>
    <w:rsid w:val="6B2C0AD0"/>
    <w:rsid w:val="6D314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table" w:styleId="5">
    <w:name w:val="Table Grid"/>
    <w:basedOn w:val="4"/>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table" w:customStyle="1" w:styleId="8">
    <w:name w:val="Table Normal"/>
    <w:autoRedefine/>
    <w:semiHidden/>
    <w:unhideWhenUsed/>
    <w:qFormat/>
    <w:uiPriority w:val="0"/>
    <w:rPr>
      <w:rFonts w:ascii="Arial" w:hAnsi="Arial" w:cs="Arial"/>
    </w:rPr>
    <w:tblPr>
      <w:tblCellMar>
        <w:top w:w="0" w:type="dxa"/>
        <w:left w:w="0" w:type="dxa"/>
        <w:bottom w:w="0" w:type="dxa"/>
        <w:right w:w="0" w:type="dxa"/>
      </w:tblCellMar>
    </w:tblPr>
  </w:style>
  <w:style w:type="character" w:customStyle="1" w:styleId="9">
    <w:name w:val="页眉 字符"/>
    <w:basedOn w:val="6"/>
    <w:link w:val="3"/>
    <w:uiPriority w:val="0"/>
    <w:rPr>
      <w:kern w:val="2"/>
      <w:sz w:val="18"/>
      <w:szCs w:val="18"/>
    </w:rPr>
  </w:style>
  <w:style w:type="character" w:customStyle="1" w:styleId="10">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1907</Words>
  <Characters>1968</Characters>
  <Lines>174</Lines>
  <Paragraphs>49</Paragraphs>
  <TotalTime>52</TotalTime>
  <ScaleCrop>false</ScaleCrop>
  <LinksUpToDate>false</LinksUpToDate>
  <CharactersWithSpaces>1969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2025-04-13T01:05:00Z</dcterms:created>
  <dc:creator>Ada</dc:creator>
  <cp:lastModifiedBy>飘飞的走走</cp:lastModifiedBy>
  <dcterms:modified xsi:type="dcterms:W3CDTF">2025-06-30T07:17:42Z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AE9EAAD31C99420EA3063F68092851FC_11</vt:lpwstr>
  </property>
  <property fmtid="{D5CDD505-2E9C-101B-9397-08002B2CF9AE}" pid="4" name="KSOTemplateDocerSaveRecord">
    <vt:lpwstr>eyJoZGlkIjoiNDAxMDcwODAwYWY5YmIxNzFlMWMzZjI4OTg3YjVhZjciLCJ1c2VySWQiOiIxMTM1MjAzMzU5In0=</vt:lpwstr>
  </property>
</Properties>
</file>