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Toc5868"/>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sz w:val="32"/>
          <w:szCs w:val="32"/>
        </w:rPr>
      </w:pPr>
      <w:r>
        <w:rPr>
          <w:rFonts w:hint="eastAsia" w:ascii="仿宋" w:hAnsi="仿宋" w:eastAsia="仿宋" w:cs="仿宋"/>
          <w:sz w:val="32"/>
          <w:szCs w:val="32"/>
        </w:rPr>
        <w:t>附件2：</w:t>
      </w:r>
      <w:bookmarkEnd w:id="0"/>
      <w:bookmarkStart w:id="1" w:name="_Toc1002"/>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赛题汇总</w:t>
      </w:r>
      <w:bookmarkEnd w:id="1"/>
      <w:bookmarkStart w:id="7" w:name="_GoBack"/>
      <w:bookmarkEnd w:id="7"/>
    </w:p>
    <w:p>
      <w:pPr>
        <w:keepNext w:val="0"/>
        <w:keepLines w:val="0"/>
        <w:pageBreakBefore w:val="0"/>
        <w:widowControl w:val="0"/>
        <w:kinsoku/>
        <w:wordWrap/>
        <w:overflowPunct/>
        <w:topLinePunct w:val="0"/>
        <w:autoSpaceDE/>
        <w:autoSpaceDN/>
        <w:bidi w:val="0"/>
        <w:adjustRightInd/>
        <w:snapToGrid w:val="0"/>
        <w:spacing w:before="120" w:beforeLines="50" w:after="120" w:afterLines="50" w:line="500" w:lineRule="exact"/>
        <w:jc w:val="center"/>
        <w:textAlignment w:val="auto"/>
        <w:outlineLvl w:val="9"/>
        <w:rPr>
          <w:rFonts w:ascii="仿宋" w:hAnsi="仿宋" w:eastAsia="仿宋" w:cs="仿宋_GB2312"/>
          <w:b/>
          <w:bCs/>
          <w:sz w:val="32"/>
          <w:szCs w:val="32"/>
        </w:rPr>
      </w:pPr>
      <w:bookmarkStart w:id="2" w:name="_Toc18218"/>
      <w:r>
        <w:rPr>
          <w:rFonts w:hint="eastAsia" w:ascii="仿宋" w:hAnsi="仿宋" w:eastAsia="仿宋" w:cs="仿宋_GB2312"/>
          <w:b/>
          <w:bCs/>
          <w:sz w:val="32"/>
          <w:szCs w:val="32"/>
        </w:rPr>
        <w:t>命题1（赛道一：环境与绿色科技）</w:t>
      </w:r>
      <w:bookmarkEnd w:id="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outlineLvl w:val="9"/>
              <w:rPr>
                <w:rFonts w:ascii="仿宋" w:hAnsi="仿宋" w:eastAsia="仿宋" w:cs="仿宋"/>
                <w:b/>
                <w:bCs/>
                <w:kern w:val="0"/>
                <w:sz w:val="28"/>
                <w:szCs w:val="28"/>
              </w:rPr>
            </w:pPr>
            <w:bookmarkStart w:id="3" w:name="_Toc20782"/>
            <w:r>
              <w:rPr>
                <w:rFonts w:hint="eastAsia" w:ascii="仿宋" w:hAnsi="仿宋" w:eastAsia="仿宋" w:cs="仿宋"/>
                <w:b/>
                <w:bCs/>
                <w:kern w:val="0"/>
                <w:sz w:val="28"/>
                <w:szCs w:val="28"/>
              </w:rPr>
              <w:t>主题：水处理工艺的碳减排及能量回收技术</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28"/>
                <w:szCs w:val="28"/>
              </w:rPr>
            </w:pPr>
            <w:r>
              <w:rPr>
                <w:rFonts w:hint="eastAsia" w:ascii="仿宋" w:hAnsi="仿宋" w:eastAsia="仿宋" w:cs="仿宋"/>
                <w:kern w:val="0"/>
                <w:sz w:val="28"/>
                <w:szCs w:val="28"/>
              </w:rPr>
              <w:tab/>
            </w:r>
            <w:r>
              <w:rPr>
                <w:rFonts w:hint="eastAsia" w:ascii="仿宋" w:hAnsi="仿宋" w:eastAsia="仿宋" w:cs="仿宋"/>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w:t>
            </w:r>
            <w:r>
              <w:rPr>
                <w:rFonts w:hint="eastAsia" w:ascii="仿宋" w:hAnsi="仿宋" w:eastAsia="仿宋" w:cs="仿宋"/>
                <w:kern w:val="0"/>
                <w:sz w:val="28"/>
                <w:szCs w:val="28"/>
                <w:lang w:eastAsia="zh-CN"/>
              </w:rPr>
              <w:t>污水处理厂</w:t>
            </w:r>
            <w:r>
              <w:rPr>
                <w:rFonts w:hint="eastAsia" w:ascii="仿宋" w:hAnsi="仿宋" w:eastAsia="仿宋" w:cs="仿宋"/>
                <w:kern w:val="0"/>
                <w:sz w:val="28"/>
                <w:szCs w:val="28"/>
              </w:rPr>
              <w:t>还面临着水资源再生率低、污泥资源利用率低等问题，存在大量的减碳潜力。另一方面，污水是资源与能源的载体，其中所含有机碳资源所蕴含能量可达污水处理</w:t>
            </w:r>
            <w:r>
              <w:rPr>
                <w:rFonts w:hint="eastAsia" w:ascii="仿宋" w:hAnsi="仿宋" w:eastAsia="仿宋" w:cs="仿宋"/>
                <w:kern w:val="0"/>
                <w:sz w:val="28"/>
                <w:szCs w:val="28"/>
                <w:lang w:eastAsia="zh-CN"/>
              </w:rPr>
              <w:t>能耗</w:t>
            </w:r>
            <w:r>
              <w:rPr>
                <w:rFonts w:hint="eastAsia" w:ascii="仿宋" w:hAnsi="仿宋" w:eastAsia="仿宋" w:cs="仿宋"/>
                <w:kern w:val="0"/>
                <w:sz w:val="28"/>
                <w:szCs w:val="28"/>
              </w:rPr>
              <w:t>的5</w:t>
            </w:r>
            <w:r>
              <w:rPr>
                <w:rFonts w:hint="eastAsia" w:ascii="仿宋" w:hAnsi="仿宋" w:eastAsia="仿宋" w:cs="仿宋"/>
                <w:kern w:val="0"/>
                <w:sz w:val="28"/>
                <w:szCs w:val="28"/>
                <w:lang w:eastAsia="zh-CN"/>
              </w:rPr>
              <w:t>至</w:t>
            </w:r>
            <w:r>
              <w:rPr>
                <w:rFonts w:hint="eastAsia" w:ascii="仿宋" w:hAnsi="仿宋" w:eastAsia="仿宋" w:cs="仿宋"/>
                <w:kern w:val="0"/>
                <w:sz w:val="28"/>
                <w:szCs w:val="28"/>
              </w:rPr>
              <w:t>10倍，这意味着若能高效捕捉利用污水中的有机碳源，回收其能量，用来反哺城镇污水处理厂的运行能耗，可以实现能源自给，并降低污水处理厂生命周期内的温室气体排放，最终达到碳中和运行。未来双碳政策力度将进一步加强，水处理行业应该如何在双碳理念的指导下解决水资源低再生利用率问题、降低水处理过程能耗、实现污水和污泥资源化，助力双碳政策推进呢？</w:t>
            </w:r>
            <w:r>
              <w:rPr>
                <w:rFonts w:hint="eastAsia" w:ascii="仿宋" w:hAnsi="仿宋" w:eastAsia="仿宋" w:cs="仿宋"/>
                <w:kern w:val="0"/>
                <w:sz w:val="28"/>
                <w:szCs w:val="28"/>
              </w:rPr>
              <w:tab/>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1.新概念水厂</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2.低碳的污水处理技术及污水有机碳源捕捉与能量回收技术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3.基于新能源的污水处理材料及技术</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仿宋" w:hAnsi="仿宋" w:eastAsia="仿宋" w:cs="仿宋"/>
                <w:kern w:val="0"/>
                <w:sz w:val="28"/>
                <w:szCs w:val="28"/>
              </w:rPr>
            </w:pPr>
            <w:r>
              <w:rPr>
                <w:rFonts w:hint="eastAsia" w:ascii="仿宋" w:hAnsi="仿宋" w:eastAsia="仿宋" w:cs="仿宋"/>
                <w:kern w:val="0"/>
                <w:sz w:val="28"/>
                <w:szCs w:val="28"/>
              </w:rPr>
              <w:t>4.污水处理厂碳排放核算</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ascii="仿宋" w:hAnsi="仿宋" w:eastAsia="仿宋" w:cs="仿宋"/>
                <w:kern w:val="0"/>
                <w:sz w:val="32"/>
                <w:szCs w:val="32"/>
              </w:rPr>
            </w:pPr>
            <w:r>
              <w:rPr>
                <w:rFonts w:hint="eastAsia" w:ascii="仿宋" w:hAnsi="仿宋" w:eastAsia="仿宋" w:cs="仿宋"/>
                <w:kern w:val="0"/>
                <w:sz w:val="28"/>
                <w:szCs w:val="28"/>
              </w:rPr>
              <w:t>5.降低有机废水处理CO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排放</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高效低碳的再生水工艺</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（赛道一：环境与绿色科技）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color w:val="000000"/>
                <w:kern w:val="0"/>
                <w:sz w:val="32"/>
                <w:szCs w:val="32"/>
              </w:rPr>
            </w:pPr>
            <w:r>
              <w:rPr>
                <w:rFonts w:hint="eastAsia" w:ascii="仿宋" w:hAnsi="仿宋" w:eastAsia="仿宋" w:cs="仿宋"/>
                <w:b/>
                <w:bCs/>
                <w:kern w:val="0"/>
                <w:sz w:val="28"/>
                <w:szCs w:val="28"/>
              </w:rPr>
              <w:t>主题：土壤固碳增汇与农田减污降碳协同增效绿色治理技术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土壤碳库是陆地生态系统中最大的碳库，目前全球每年向大气排放的CO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约31%被土壤固持，若采取有效措施使全球土壤碳储量每年增加1%则将抵消大气排放62.5%。土壤既表现出巨大的固碳潜力，但也有可能从碳汇转变为碳源从而加剧碳排放，因此通过有效行动来增加土壤碳稳定性并实现大范围提升土壤碳储量，推进农业农村领域减排固碳助力“双碳”目标成为迫在眉睫的问题。目前土壤固碳增汇的主要途径包括技术固碳即碳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w:t>
            </w:r>
            <w:r>
              <w:rPr>
                <w:rFonts w:hint="eastAsia" w:ascii="仿宋" w:hAnsi="仿宋" w:eastAsia="仿宋" w:cs="仿宋"/>
                <w:kern w:val="0"/>
                <w:sz w:val="28"/>
                <w:szCs w:val="28"/>
                <w:lang w:eastAsia="zh-CN"/>
              </w:rPr>
              <w:t>备受关注</w:t>
            </w:r>
            <w:r>
              <w:rPr>
                <w:rFonts w:hint="eastAsia" w:ascii="仿宋" w:hAnsi="仿宋" w:eastAsia="仿宋" w:cs="仿宋"/>
                <w:kern w:val="0"/>
                <w:sz w:val="28"/>
                <w:szCs w:val="28"/>
              </w:rPr>
              <w:t>，但实践中仍存在不少困难和挑战，尤其是急需兼顾减污和降碳的绿色低碳治理技术。充分考虑生命周期评价（LCA）以及农业生态系统和土壤、植物、生物质炭等固碳功能，对上述问题提供了潜在解决方案。</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00000"/>
                <w:kern w:val="0"/>
                <w:sz w:val="32"/>
                <w:szCs w:val="32"/>
              </w:rPr>
            </w:pPr>
            <w:r>
              <w:rPr>
                <w:rFonts w:hint="eastAsia" w:ascii="仿宋" w:hAnsi="仿宋" w:eastAsia="仿宋" w:cs="仿宋"/>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1.陆地生态系统典型土壤的固碳增汇创新技术与有效措施</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2.农林业废弃物的生物质能源和炭化等资源再利用技术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3.高效率低成本全生命周期减污降碳农田绿色治理技术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jc w:val="left"/>
              <w:textAlignment w:val="auto"/>
              <w:rPr>
                <w:rFonts w:ascii="仿宋" w:hAnsi="仿宋" w:eastAsia="仿宋" w:cs="仿宋"/>
                <w:b/>
                <w:bCs/>
                <w:color w:val="000000"/>
                <w:kern w:val="0"/>
                <w:sz w:val="32"/>
                <w:szCs w:val="32"/>
              </w:rPr>
            </w:pPr>
            <w:r>
              <w:rPr>
                <w:rFonts w:hint="eastAsia" w:ascii="仿宋" w:hAnsi="仿宋" w:eastAsia="仿宋" w:cs="仿宋"/>
                <w:kern w:val="0"/>
                <w:sz w:val="28"/>
                <w:szCs w:val="28"/>
              </w:rPr>
              <w:t>4.重金属污染土壤的固碳植物修复技术</w:t>
            </w:r>
          </w:p>
        </w:tc>
      </w:tr>
    </w:tbl>
    <w:p>
      <w:pPr>
        <w:widowControl/>
        <w:jc w:val="left"/>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line="58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3</w:t>
      </w:r>
      <w:r>
        <w:rPr>
          <w:rFonts w:hint="eastAsia" w:ascii="仿宋" w:hAnsi="仿宋" w:eastAsia="仿宋" w:cs="仿宋_GB2312"/>
          <w:b/>
          <w:bCs/>
          <w:sz w:val="32"/>
          <w:szCs w:val="32"/>
        </w:rPr>
        <w:t>（赛道一：环境与绿色科技）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主题：工业领域减污降碳协同增效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“十四五”时期，我国已进入了实现生态环境质量改善由量变到质变的关键阶段，是中国全面打赢污染防治攻坚战、实现生态环境质量持续改善的关键五年，也是助力我国实现2030年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碳达峰和2060年</w:t>
            </w:r>
            <w:r>
              <w:rPr>
                <w:rFonts w:hint="eastAsia" w:ascii="仿宋" w:hAnsi="仿宋" w:eastAsia="仿宋" w:cs="仿宋"/>
                <w:kern w:val="0"/>
                <w:sz w:val="28"/>
                <w:szCs w:val="28"/>
                <w:lang w:eastAsia="zh-CN"/>
              </w:rPr>
              <w:t>前</w:t>
            </w:r>
            <w:r>
              <w:rPr>
                <w:rFonts w:hint="eastAsia" w:ascii="仿宋" w:hAnsi="仿宋" w:eastAsia="仿宋" w:cs="仿宋"/>
                <w:kern w:val="0"/>
                <w:sz w:val="28"/>
                <w:szCs w:val="28"/>
              </w:rPr>
              <w:t>碳中和的关键期。推进减污降碳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污和降碳的双赢，是关系到实现我国的环境治理与双碳目标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拟通过本主题，选择工业领域重点1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2个行业开展，</w:t>
            </w:r>
            <w:r>
              <w:rPr>
                <w:rFonts w:hint="eastAsia" w:ascii="仿宋" w:hAnsi="仿宋" w:eastAsia="仿宋" w:cs="仿宋"/>
                <w:strike w:val="0"/>
                <w:kern w:val="0"/>
                <w:sz w:val="28"/>
                <w:szCs w:val="28"/>
              </w:rPr>
              <w:t>结合该工业领域典型污染物及其环境归趋特征</w:t>
            </w:r>
            <w:r>
              <w:rPr>
                <w:rFonts w:hint="eastAsia" w:ascii="仿宋" w:hAnsi="仿宋" w:eastAsia="仿宋" w:cs="仿宋"/>
                <w:kern w:val="0"/>
                <w:sz w:val="28"/>
                <w:szCs w:val="28"/>
              </w:rPr>
              <w:t>，结合智慧科技，强化环境污染治理与碳减排的措施协同，推动工业领域全流程绿色发展，助力绿色制造、清洁生产改造。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1.工业领域重点行业碳及污染物排放测算</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2.工业领域重点行业减污降碳协同增效方案设计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3.工业领域重点行业减污降碳协同增效环境、气候及健康效益预测</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4.工业领域重点行业源头减污降碳的关键创新技术</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4</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kern w:val="0"/>
                <w:sz w:val="28"/>
                <w:szCs w:val="28"/>
                <w:highlight w:val="none"/>
              </w:rPr>
              <w:t>主题：金属资源的回收及循环利用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金、铜等</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因此，回收金、铜</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清洁能源关键金属</w:t>
            </w:r>
            <w:r>
              <w:rPr>
                <w:rFonts w:hint="eastAsia" w:ascii="仿宋" w:hAnsi="仿宋" w:eastAsia="仿宋" w:cs="仿宋"/>
                <w:kern w:val="0"/>
                <w:sz w:val="28"/>
                <w:szCs w:val="28"/>
              </w:rPr>
              <w:t>等资源，可以将污染难题转化为经济效益，</w:t>
            </w:r>
            <w:r>
              <w:rPr>
                <w:rFonts w:hint="eastAsia" w:ascii="仿宋" w:hAnsi="仿宋" w:eastAsia="仿宋" w:cs="仿宋"/>
                <w:kern w:val="0"/>
                <w:sz w:val="28"/>
                <w:szCs w:val="28"/>
                <w:lang w:val="en-US" w:eastAsia="zh-CN"/>
              </w:rPr>
              <w:t>推动国家绿色清洁能源发展，</w:t>
            </w:r>
            <w:r>
              <w:rPr>
                <w:rFonts w:hint="eastAsia" w:ascii="仿宋" w:hAnsi="仿宋" w:eastAsia="仿宋" w:cs="仿宋"/>
                <w:kern w:val="0"/>
                <w:sz w:val="28"/>
                <w:szCs w:val="28"/>
              </w:rPr>
              <w:t>不仅对国民健康和环境安全意义重大，而且是实现“双碳”目标和构建循环经济体系的有效途径。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kern w:val="0"/>
                <w:sz w:val="28"/>
                <w:szCs w:val="28"/>
              </w:rPr>
              <w:t>本命题以“以实现</w:t>
            </w:r>
            <w:r>
              <w:rPr>
                <w:rFonts w:hint="eastAsia" w:ascii="仿宋" w:hAnsi="仿宋" w:eastAsia="仿宋" w:cs="仿宋"/>
                <w:kern w:val="0"/>
                <w:sz w:val="28"/>
                <w:szCs w:val="28"/>
                <w:lang w:val="en-US" w:eastAsia="zh-CN"/>
              </w:rPr>
              <w:t>金属</w:t>
            </w:r>
            <w:r>
              <w:rPr>
                <w:rFonts w:hint="eastAsia" w:ascii="仿宋" w:hAnsi="仿宋" w:eastAsia="仿宋" w:cs="仿宋"/>
                <w:kern w:val="0"/>
                <w:sz w:val="28"/>
                <w:szCs w:val="28"/>
              </w:rPr>
              <w:t>资源的回收及循环利用”为目标，通过本主题内容的创新创意，探索资源回收再利用及低碳可持续发展的新思路和新技术方法。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1.电子垃圾回收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2.无氰化贵金属溶解技术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3.贵金属吸附及提取技术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kern w:val="0"/>
                <w:sz w:val="28"/>
                <w:szCs w:val="28"/>
                <w:lang w:eastAsia="zh-CN"/>
              </w:rPr>
              <w:t>风能、太阳能</w:t>
            </w:r>
            <w:r>
              <w:rPr>
                <w:rFonts w:hint="eastAsia" w:ascii="仿宋" w:hAnsi="仿宋" w:eastAsia="仿宋" w:cs="仿宋"/>
                <w:kern w:val="0"/>
                <w:sz w:val="28"/>
                <w:szCs w:val="28"/>
                <w:lang w:val="en-US" w:eastAsia="zh-CN"/>
              </w:rPr>
              <w:t>等清洁能源</w:t>
            </w:r>
            <w:r>
              <w:rPr>
                <w:rFonts w:hint="eastAsia" w:ascii="仿宋" w:hAnsi="仿宋" w:eastAsia="仿宋" w:cs="仿宋"/>
                <w:kern w:val="0"/>
                <w:sz w:val="28"/>
                <w:szCs w:val="28"/>
                <w:lang w:eastAsia="zh-CN"/>
              </w:rPr>
              <w:t>生产</w:t>
            </w:r>
            <w:r>
              <w:rPr>
                <w:rFonts w:hint="eastAsia" w:ascii="仿宋" w:hAnsi="仿宋" w:eastAsia="仿宋" w:cs="仿宋"/>
                <w:kern w:val="0"/>
                <w:sz w:val="28"/>
                <w:szCs w:val="28"/>
                <w:lang w:val="en-US" w:eastAsia="zh-CN"/>
              </w:rPr>
              <w:t>中</w:t>
            </w:r>
            <w:r>
              <w:rPr>
                <w:rFonts w:hint="eastAsia" w:ascii="仿宋" w:hAnsi="仿宋" w:eastAsia="仿宋" w:cs="仿宋"/>
                <w:kern w:val="0"/>
                <w:sz w:val="28"/>
                <w:szCs w:val="28"/>
                <w:lang w:eastAsia="zh-CN"/>
              </w:rPr>
              <w:t>的关键稀有金属、</w:t>
            </w:r>
            <w:r>
              <w:rPr>
                <w:rFonts w:hint="eastAsia" w:ascii="仿宋" w:hAnsi="仿宋" w:eastAsia="仿宋" w:cs="仿宋"/>
                <w:kern w:val="0"/>
                <w:sz w:val="28"/>
                <w:szCs w:val="28"/>
                <w:lang w:val="en-US" w:eastAsia="zh-CN"/>
              </w:rPr>
              <w:t>对环境有害金属等</w:t>
            </w:r>
            <w:r>
              <w:rPr>
                <w:rFonts w:hint="eastAsia" w:ascii="仿宋" w:hAnsi="仿宋" w:eastAsia="仿宋" w:cs="仿宋"/>
                <w:kern w:val="0"/>
                <w:sz w:val="28"/>
                <w:szCs w:val="28"/>
              </w:rPr>
              <w:t>再提取与利用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28"/>
                <w:szCs w:val="28"/>
                <w:lang w:val="en-US" w:eastAsia="zh-CN"/>
              </w:rPr>
              <w:t>5.回收成本估算</w:t>
            </w:r>
          </w:p>
        </w:tc>
      </w:tr>
    </w:tbl>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5</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主题：油气资源开发耦合碳捕集封存创新技术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最经济、可行的方法。旨</w:t>
            </w:r>
            <w:r>
              <w:rPr>
                <w:rFonts w:hint="eastAsia" w:ascii="仿宋" w:hAnsi="仿宋" w:eastAsia="仿宋" w:cs="仿宋"/>
                <w:kern w:val="0"/>
                <w:sz w:val="28"/>
                <w:szCs w:val="28"/>
                <w:lang w:eastAsia="zh-CN"/>
              </w:rPr>
              <w:t>在</w:t>
            </w:r>
            <w:r>
              <w:rPr>
                <w:rFonts w:hint="eastAsia" w:ascii="仿宋" w:hAnsi="仿宋" w:eastAsia="仿宋" w:cs="仿宋"/>
                <w:kern w:val="0"/>
                <w:sz w:val="28"/>
                <w:szCs w:val="28"/>
              </w:rPr>
              <w:t>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b/>
                <w:bCs/>
                <w:kern w:val="0"/>
                <w:sz w:val="32"/>
                <w:szCs w:val="32"/>
                <w:lang w:eastAsia="zh-CN"/>
              </w:rPr>
            </w:pPr>
            <w:r>
              <w:rPr>
                <w:rFonts w:hint="eastAsia" w:ascii="仿宋" w:hAnsi="仿宋" w:eastAsia="仿宋" w:cs="仿宋"/>
                <w:kern w:val="0"/>
                <w:sz w:val="28"/>
                <w:szCs w:val="28"/>
              </w:rPr>
              <w:t>请针对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但不限于</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以下</w:t>
            </w:r>
            <w:r>
              <w:rPr>
                <w:rFonts w:hint="eastAsia" w:ascii="仿宋" w:hAnsi="仿宋" w:eastAsia="仿宋" w:cs="仿宋"/>
                <w:kern w:val="0"/>
                <w:sz w:val="28"/>
                <w:szCs w:val="28"/>
                <w:lang w:val="en-US" w:eastAsia="zh-CN"/>
              </w:rPr>
              <w:t>关注</w:t>
            </w:r>
            <w:r>
              <w:rPr>
                <w:rFonts w:hint="eastAsia" w:ascii="仿宋" w:hAnsi="仿宋" w:eastAsia="仿宋" w:cs="仿宋"/>
                <w:kern w:val="0"/>
                <w:sz w:val="28"/>
                <w:szCs w:val="28"/>
              </w:rPr>
              <w:t>方面提出富有创造力、竞争力与说服力的创新设计解决方案或技术</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1.海洋油气资源高效开发与利用技术或装备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2.海洋碳捕集、碳封存、海洋增汇新技术或装备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3.海底二氧化碳长期稳定封存验证技术或装备</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4.基于二氧化碳捕集与封存的海洋环境监测与评估技术</w:t>
            </w:r>
          </w:p>
          <w:p>
            <w:pPr>
              <w:keepNext w:val="0"/>
              <w:keepLines w:val="0"/>
              <w:pageBreakBefore w:val="0"/>
              <w:widowControl w:val="0"/>
              <w:kinsoku/>
              <w:wordWrap/>
              <w:overflowPunct/>
              <w:topLinePunct w:val="0"/>
              <w:autoSpaceDE/>
              <w:autoSpaceDN/>
              <w:bidi w:val="0"/>
              <w:adjustRightInd/>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5.碳捕集与碳封存技术生命周期评估（能耗及</w:t>
            </w:r>
            <w:r>
              <w:rPr>
                <w:rFonts w:hint="eastAsia" w:ascii="仿宋" w:hAnsi="仿宋" w:eastAsia="仿宋" w:cs="仿宋"/>
                <w:kern w:val="0"/>
                <w:sz w:val="28"/>
                <w:szCs w:val="28"/>
                <w:lang w:val="en-AU"/>
              </w:rPr>
              <w:t>泄露</w:t>
            </w:r>
            <w:r>
              <w:rPr>
                <w:rFonts w:hint="eastAsia" w:ascii="仿宋" w:hAnsi="仿宋" w:eastAsia="仿宋" w:cs="仿宋"/>
                <w:kern w:val="0"/>
                <w:sz w:val="28"/>
                <w:szCs w:val="28"/>
              </w:rPr>
              <w:t>风险等）</w:t>
            </w:r>
          </w:p>
        </w:tc>
      </w:tr>
    </w:tbl>
    <w:p>
      <w:pPr>
        <w:rPr>
          <w:rFonts w:ascii="仿宋" w:hAnsi="仿宋" w:eastAsia="仿宋" w:cs="仿宋_GB2312"/>
          <w:sz w:val="32"/>
          <w:szCs w:val="32"/>
        </w:rPr>
      </w:pP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6</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lang w:val="zh-TW"/>
              </w:rPr>
              <w:t>主题：绿色氢能的高效低成本获取与利用技术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依然面临着效率低或成本高等巨大挑战，急需发展核心的关键技术和新材料。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w:t>
            </w:r>
            <w:r>
              <w:rPr>
                <w:rFonts w:hint="eastAsia" w:ascii="仿宋" w:hAnsi="仿宋" w:eastAsia="仿宋" w:cs="仿宋"/>
                <w:kern w:val="0"/>
                <w:sz w:val="24"/>
                <w:szCs w:val="24"/>
                <w:lang w:eastAsia="zh-CN"/>
              </w:rPr>
              <w:t>的</w:t>
            </w:r>
            <w:r>
              <w:rPr>
                <w:rFonts w:hint="eastAsia" w:ascii="仿宋" w:hAnsi="仿宋" w:eastAsia="仿宋" w:cs="仿宋"/>
                <w:kern w:val="0"/>
                <w:sz w:val="24"/>
                <w:szCs w:val="24"/>
              </w:rPr>
              <w:t>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1.利用可再生能源获取绿色氢能的新技术和新材料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2.低成本、长寿命的氢燃料电池关键材料</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3.高效氢能储运技术、氢电双向转换与一体化技术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4.绿色氢能获取与利用技术的实际应用</w:t>
            </w:r>
            <w:r>
              <w:rPr>
                <w:rFonts w:hint="eastAsia" w:ascii="仿宋" w:hAnsi="仿宋" w:eastAsia="仿宋" w:cs="仿宋"/>
                <w:kern w:val="0"/>
                <w:sz w:val="24"/>
                <w:szCs w:val="24"/>
                <w:lang w:val="en-US" w:eastAsia="zh-CN"/>
              </w:rPr>
              <w:t>和过程</w:t>
            </w:r>
            <w:r>
              <w:rPr>
                <w:rFonts w:hint="eastAsia" w:ascii="仿宋" w:hAnsi="仿宋" w:eastAsia="仿宋" w:cs="仿宋"/>
                <w:kern w:val="0"/>
                <w:sz w:val="24"/>
                <w:szCs w:val="24"/>
              </w:rPr>
              <w:t>安全性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4"/>
                <w:szCs w:val="24"/>
              </w:rPr>
              <w:t>5.绿色氢能获取与利用过程经济性，</w:t>
            </w:r>
            <w:r>
              <w:rPr>
                <w:rFonts w:hint="eastAsia" w:ascii="仿宋" w:hAnsi="仿宋" w:eastAsia="仿宋" w:cs="仿宋"/>
                <w:kern w:val="0"/>
                <w:sz w:val="24"/>
                <w:szCs w:val="24"/>
                <w:lang w:val="en-US" w:eastAsia="zh-CN"/>
              </w:rPr>
              <w:t>分析</w:t>
            </w:r>
            <w:r>
              <w:rPr>
                <w:rFonts w:hint="eastAsia" w:ascii="仿宋" w:hAnsi="仿宋" w:eastAsia="仿宋" w:cs="仿宋"/>
                <w:kern w:val="0"/>
                <w:sz w:val="24"/>
                <w:szCs w:val="24"/>
              </w:rPr>
              <w:t>成本效益等</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7</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20" w:type="dxa"/>
            <w:vAlign w:val="top"/>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主题：CO</w:t>
            </w:r>
            <w:r>
              <w:rPr>
                <w:rFonts w:hint="eastAsia" w:ascii="仿宋" w:hAnsi="仿宋" w:eastAsia="仿宋" w:cs="仿宋"/>
                <w:b/>
                <w:bCs/>
                <w:kern w:val="0"/>
                <w:sz w:val="28"/>
                <w:szCs w:val="28"/>
                <w:vertAlign w:val="subscript"/>
              </w:rPr>
              <w:t>2</w:t>
            </w:r>
            <w:r>
              <w:rPr>
                <w:rFonts w:hint="eastAsia" w:ascii="仿宋" w:hAnsi="仿宋" w:eastAsia="仿宋" w:cs="仿宋"/>
                <w:b/>
                <w:bCs/>
                <w:kern w:val="0"/>
                <w:sz w:val="28"/>
                <w:szCs w:val="28"/>
              </w:rPr>
              <w:t>价值循环利用之催化转化技术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的高效转化利用对缓解能源危机以及实现“碳中和”目标具有重要的战略意义。CO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加氢制烃类等高附加值产品将CO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与可再生能源有机结合，不仅有望解决环境问题，还可以缓解化石能源枯竭所带来的能源危机，具有非常广阔的研究前景。传统的金属氧化物催化剂通常需要较高的反应温度</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&gt;300oC</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来催化CO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加氢制甲醇，往往伴随着严重的逆水煤气变换</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RWGS</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反应，导致产生大量副产物一氧化碳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CO)。在金属氧化物催化剂中引入过渡金属组分可以促进H</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的活化从而降低反应温度，但同时又容易导致CO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过度加氢到甲烷</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CH</w:t>
            </w:r>
            <w:r>
              <w:rPr>
                <w:rFonts w:hint="eastAsia" w:ascii="仿宋" w:hAnsi="仿宋" w:eastAsia="仿宋" w:cs="仿宋"/>
                <w:kern w:val="0"/>
                <w:sz w:val="28"/>
                <w:szCs w:val="28"/>
                <w:vertAlign w:val="subscript"/>
              </w:rPr>
              <w:t>4</w:t>
            </w:r>
            <w:r>
              <w:rPr>
                <w:rFonts w:hint="eastAsia" w:ascii="仿宋" w:hAnsi="仿宋" w:eastAsia="仿宋" w:cs="仿宋"/>
                <w:kern w:val="0"/>
                <w:sz w:val="28"/>
                <w:szCs w:val="28"/>
              </w:rPr>
              <w:t>)。金属/金属氧化物催化CO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加氢制甲醇体系中活性与选择性的相互制约，严重限制了其低温催化性能的提升。因此，为实现CO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低温高效加氢制烃类等高附加值产品，</w:t>
            </w:r>
            <w:r>
              <w:rPr>
                <w:rFonts w:hint="eastAsia" w:ascii="仿宋" w:hAnsi="仿宋" w:eastAsia="仿宋" w:cs="仿宋"/>
                <w:kern w:val="0"/>
                <w:sz w:val="28"/>
                <w:szCs w:val="28"/>
                <w:lang w:eastAsia="zh-CN"/>
              </w:rPr>
              <w:t>亟须寻求</w:t>
            </w:r>
            <w:r>
              <w:rPr>
                <w:rFonts w:hint="eastAsia" w:ascii="仿宋" w:hAnsi="仿宋" w:eastAsia="仿宋" w:cs="仿宋"/>
                <w:kern w:val="0"/>
                <w:sz w:val="28"/>
                <w:szCs w:val="28"/>
              </w:rPr>
              <w:t>新的低成本过渡金属化合物催化剂体系，控制催化加氢温度低于200 oC，进而提高CO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的单程转化率10%以上，并对全产业过程的能耗和经济成本进行必要的分析。</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本赛道关注CO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催化转化的高效催化剂体系，从材料选择、结构设计的角度提出有市场应用前景的催化剂，为实现低能耗、高效率的CO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转化利用开辟了新途径，达到实现减碳降碳的社会效益。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转化新途径与催化新技术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2.低成本CO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转化催化剂</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3.高效稳定的CO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电催化转化技术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4.模拟光合作用还原CO</w:t>
            </w:r>
            <w:r>
              <w:rPr>
                <w:rFonts w:hint="eastAsia" w:ascii="仿宋" w:hAnsi="仿宋" w:eastAsia="仿宋" w:cs="仿宋"/>
                <w:kern w:val="0"/>
                <w:sz w:val="28"/>
                <w:szCs w:val="28"/>
                <w:vertAlign w:val="subscript"/>
              </w:rPr>
              <w:t>2</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widowControl/>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8</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主题：基于减碳节能的光充储集成式电池设计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碳达峰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压直接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1.高效太阳能转化材料与技术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2.光充储电池一体式集成技术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3.光电转化与电荷存储双功能材料</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9</w:t>
      </w:r>
      <w:r>
        <w:rPr>
          <w:rFonts w:hint="eastAsia" w:ascii="仿宋" w:hAnsi="仿宋" w:eastAsia="仿宋" w:cs="仿宋_GB2312"/>
          <w:b/>
          <w:bCs/>
          <w:sz w:val="32"/>
          <w:szCs w:val="32"/>
        </w:rPr>
        <w:t>（赛道二：新材料与新能源）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主题：火力发电碳捕集能耗</w:t>
            </w:r>
            <w:r>
              <w:rPr>
                <w:rFonts w:hint="eastAsia" w:ascii="仿宋" w:hAnsi="仿宋" w:eastAsia="仿宋" w:cs="仿宋"/>
                <w:b/>
                <w:bCs/>
                <w:kern w:val="0"/>
                <w:sz w:val="28"/>
                <w:szCs w:val="28"/>
                <w:lang w:val="en-US" w:eastAsia="zh-CN"/>
              </w:rPr>
              <w:t>分析</w:t>
            </w:r>
            <w:r>
              <w:rPr>
                <w:rFonts w:hint="eastAsia" w:ascii="仿宋" w:hAnsi="仿宋" w:eastAsia="仿宋" w:cs="仿宋"/>
                <w:b/>
                <w:bCs/>
                <w:kern w:val="0"/>
                <w:sz w:val="28"/>
                <w:szCs w:val="28"/>
              </w:rPr>
              <w:t>与碳</w:t>
            </w:r>
            <w:r>
              <w:rPr>
                <w:rFonts w:hint="eastAsia" w:ascii="仿宋" w:hAnsi="仿宋" w:eastAsia="仿宋" w:cs="仿宋"/>
                <w:b/>
                <w:bCs/>
                <w:kern w:val="0"/>
                <w:sz w:val="28"/>
                <w:szCs w:val="28"/>
                <w:lang w:eastAsia="zh-CN"/>
              </w:rPr>
              <w:t>泄露</w:t>
            </w:r>
            <w:r>
              <w:rPr>
                <w:rFonts w:hint="eastAsia" w:ascii="仿宋" w:hAnsi="仿宋" w:eastAsia="仿宋" w:cs="仿宋"/>
                <w:b/>
                <w:bCs/>
                <w:kern w:val="0"/>
                <w:sz w:val="28"/>
                <w:szCs w:val="28"/>
                <w:lang w:val="en-US"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碳达峰碳中和战略实施的重要技术基础。但是火力发电系统的碳捕集存在多种技术路径，各种技术的能耗特点、用能品质以及可再生能源替代应用存在很大的差异，带来的附加碳排放或碳泄露（碳捕获过程能耗的碳排放计算边界内由于碳捕获工艺带来其他工艺过程增加的碳排放）直接影响了火力发电系统的碳达峰与碳中和战略的实施。</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均需考虑碳排核算和能源利用</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1.火力发电有机胺吸收碳捕获技术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2.碳捕获材料有机胺等的低能耗再生</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3.二氧化碳捕获后远距离运输需要的液化过程节能技术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4.二氧化碳捕获工艺中可再生能源的应用</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bCs/>
                <w:kern w:val="0"/>
                <w:sz w:val="32"/>
                <w:szCs w:val="32"/>
              </w:rPr>
            </w:pPr>
            <w:r>
              <w:rPr>
                <w:rFonts w:hint="eastAsia" w:ascii="仿宋" w:hAnsi="仿宋" w:eastAsia="仿宋" w:cs="仿宋"/>
                <w:kern w:val="0"/>
                <w:sz w:val="28"/>
                <w:szCs w:val="28"/>
              </w:rPr>
              <w:t>5.火力发电机组灵活性调控技术与碳捕获工艺的协调技术</w:t>
            </w:r>
          </w:p>
        </w:tc>
      </w:tr>
    </w:tbl>
    <w:p>
      <w:pPr>
        <w:widowControl/>
        <w:jc w:val="left"/>
        <w:rPr>
          <w:rFonts w:ascii="仿宋" w:hAnsi="仿宋" w:eastAsia="仿宋" w:cs="仿宋_GB2312"/>
          <w:b/>
          <w:bCs/>
          <w:sz w:val="32"/>
          <w:szCs w:val="32"/>
        </w:rPr>
      </w:pPr>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10</w:t>
      </w:r>
      <w:r>
        <w:rPr>
          <w:rFonts w:hint="eastAsia" w:ascii="仿宋" w:hAnsi="仿宋" w:eastAsia="仿宋" w:cs="仿宋_GB2312"/>
          <w:b/>
          <w:bCs/>
          <w:sz w:val="32"/>
          <w:szCs w:val="32"/>
        </w:rPr>
        <w:t>（赛道三：电子与信息）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28"/>
                <w:szCs w:val="28"/>
              </w:rPr>
              <w:t>主题：绿色低碳信息技术</w:t>
            </w:r>
            <w:r>
              <w:rPr>
                <w:rFonts w:hint="eastAsia" w:ascii="仿宋" w:hAnsi="仿宋" w:eastAsia="仿宋" w:cs="仿宋"/>
                <w:b/>
                <w:bCs/>
                <w:kern w:val="0"/>
                <w:sz w:val="28"/>
                <w:szCs w:val="28"/>
                <w:lang w:val="en-US" w:eastAsia="zh-CN"/>
              </w:rPr>
              <w:t>及其应用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服务人类“双碳”的目标呢？</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拟通过本主题，合众之力，推动绿色低碳信息技术的发展，加强国家新一代信息技术的能耗管理和集约经营，探索绿色可持续发展之路。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1.5G基站能耗监测与管理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2.5G终端与核心网节能技术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3.5G敏捷切片与通存算一体节能优化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4.电信运营商数据中心与可再生能源耦合</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5.电信运营商数据中心余热利用</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11</w:t>
      </w:r>
      <w:r>
        <w:rPr>
          <w:rFonts w:hint="eastAsia" w:ascii="仿宋" w:hAnsi="仿宋" w:eastAsia="仿宋" w:cs="仿宋_GB2312"/>
          <w:b/>
          <w:bCs/>
          <w:sz w:val="32"/>
          <w:szCs w:val="32"/>
        </w:rPr>
        <w:t>（赛道三：电子与信息）</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主题：绿色高效大规模预训练AI技术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规模预训练模型是人工智能重要发展方向，其通过训练以执行大量数据上的特定任务获得具有通用的深度学习架构的模型。但据最近的研究发现，单一大模型在训练阶段产生的二氧化碳量甚至可达284吨，远超一辆家用轿车在其寿命内排放的二氧化碳量；而模型的规模还一直在增长。尽管人工智能算法性能取得了长足的发展，但如何高效去训练这些大规模预训练模型非常有挑战意义，对低碳环保意义巨大的。另一方面，人工智能等技术为转型低碳社会开辟了新的途径，绿色计算（绿色AI）相关技术对减碳贡献将越来越突出，绿色算力和算法应用于传统行业和数据中心，潜力巨大。因此，如何创新性地设计兼顾性能和能耗的绿色算法、优化流程来降低算力，同时通过优化数据中心能耗，更好地评估兼顾性能和能耗的预训练模型在当下非常迫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拟通过本主题，设计合理地高效大规模预训练模型的性能衡量指标，推动低能耗</w:t>
            </w:r>
            <w:r>
              <w:rPr>
                <w:rFonts w:hint="eastAsia" w:ascii="仿宋" w:hAnsi="仿宋" w:eastAsia="仿宋" w:cs="仿宋"/>
                <w:kern w:val="0"/>
                <w:sz w:val="28"/>
                <w:szCs w:val="28"/>
                <w:lang w:eastAsia="zh-CN"/>
              </w:rPr>
              <w:t>的</w:t>
            </w:r>
            <w:r>
              <w:rPr>
                <w:rFonts w:hint="eastAsia" w:ascii="仿宋" w:hAnsi="仿宋" w:eastAsia="仿宋" w:cs="仿宋"/>
                <w:kern w:val="0"/>
                <w:sz w:val="28"/>
                <w:szCs w:val="28"/>
              </w:rPr>
              <w:t>大规模预训练模型和AI算法技术的发展，帮助推动云端碳排放减排问题的解决，探索可持续发展的人工智能赋能绿色计算之路。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1.利用技术优化，降低云端数据中心能耗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2.开发低能耗的超大规模预训练模型</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3.对云端用电进行检测，优化系统，实现低碳数据中心</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4.监控碳排放，优化机组控制</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5.设计更科学地评估兼顾性能和能耗的AI算法的指标</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6.设计人工智能碳</w:t>
            </w:r>
            <w:r>
              <w:rPr>
                <w:rFonts w:hint="eastAsia" w:ascii="仿宋" w:hAnsi="仿宋" w:eastAsia="仿宋" w:cs="仿宋"/>
                <w:kern w:val="0"/>
                <w:sz w:val="28"/>
                <w:szCs w:val="28"/>
                <w:lang w:eastAsia="zh-CN"/>
              </w:rPr>
              <w:t>抵消</w:t>
            </w:r>
            <w:r>
              <w:rPr>
                <w:rFonts w:hint="eastAsia" w:ascii="仿宋" w:hAnsi="仿宋" w:eastAsia="仿宋" w:cs="仿宋"/>
                <w:kern w:val="0"/>
                <w:sz w:val="28"/>
                <w:szCs w:val="28"/>
              </w:rPr>
              <w:t>策略</w:t>
            </w:r>
          </w:p>
        </w:tc>
      </w:tr>
    </w:tbl>
    <w:p>
      <w:pPr>
        <w:rPr>
          <w:rFonts w:ascii="仿宋" w:hAnsi="仿宋" w:eastAsia="仿宋" w:cs="仿宋_GB2312"/>
          <w:sz w:val="32"/>
          <w:szCs w:val="32"/>
        </w:rPr>
      </w:pPr>
      <w:r>
        <w:rPr>
          <w:rFonts w:ascii="仿宋" w:hAnsi="仿宋" w:eastAsia="仿宋" w:cs="仿宋_GB2312"/>
          <w:sz w:val="32"/>
          <w:szCs w:val="32"/>
        </w:rPr>
        <w:br w:type="page"/>
      </w:r>
    </w:p>
    <w:p>
      <w:pPr>
        <w:jc w:val="center"/>
        <w:rPr>
          <w:rFonts w:ascii="仿宋" w:hAnsi="仿宋" w:eastAsia="仿宋"/>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主题：提升5G基站功率放大器效率减少碳排放关键技术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实现 2030 年前碳达峰、2060 年前碳中和的“双碳”目标是党中央经过深思熟虑做出 的重大战略部署，也是中国对人类命运共同体应对气候变化的庄严承诺。我国正积极全 面布局 5G 产业，根据赛迪预计未来几年内我国将建设超过 1140 万个 5G 基站。2025 年该行业将占全球电量消耗总量的五分之一，5G 基站已成为影响通信行业碳排放的最重 要基础设施。为达成“双碳”目标，通信行业节能减碳势在必行。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通信信号为非恒包络波形，调制方式复杂，产生更严重的谐波和交调等电磁干扰信号，落在带内引起信噪比降低，误码率上升，甚至无法解调；落在带外引起邻道抑制比降低，干扰其他通信频段，导致邻近 信道接收信号信噪比降低，造成严重的电磁兼容问题。</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器件级通过物理仿真优化器件结构和工艺，提升输出功率，降低峰值电场，抑制自热效应等。在电路级采用谐波匹配、偏置电路、温度补偿电路、功率合成等关键技术提升线性度、功率和效率。在系统级通过数字预失真、热仿真提升效率和线性度。</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480" w:firstLineChars="200"/>
              <w:textAlignment w:val="auto"/>
              <w:rPr>
                <w:rFonts w:ascii="仿宋" w:hAnsi="仿宋" w:eastAsia="仿宋" w:cs="仿宋"/>
                <w:kern w:val="0"/>
                <w:sz w:val="32"/>
                <w:szCs w:val="32"/>
              </w:rPr>
            </w:pPr>
            <w:r>
              <w:rPr>
                <w:rFonts w:hint="eastAsia" w:ascii="仿宋" w:hAnsi="仿宋" w:eastAsia="仿宋" w:cs="仿宋"/>
                <w:kern w:val="0"/>
                <w:sz w:val="24"/>
                <w:szCs w:val="24"/>
              </w:rPr>
              <w:t>拟通过本主题，合众之力，综合功率放大器升效降碳技术，探索支持可持续发展的通信技术。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1.提升功率放大器效率技术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2.提升功率放大器线性度技术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4"/>
                <w:szCs w:val="24"/>
              </w:rPr>
            </w:pPr>
            <w:r>
              <w:rPr>
                <w:rFonts w:hint="eastAsia" w:ascii="仿宋" w:hAnsi="仿宋" w:eastAsia="仿宋" w:cs="仿宋"/>
                <w:kern w:val="0"/>
                <w:sz w:val="24"/>
                <w:szCs w:val="24"/>
              </w:rPr>
              <w:t>3.提升功率放大器功率技术</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4"/>
                <w:szCs w:val="24"/>
              </w:rPr>
              <w:t>4.提升基站高效散热技术</w:t>
            </w:r>
          </w:p>
        </w:tc>
      </w:tr>
    </w:tbl>
    <w:p>
      <w:pP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主题：多模式能量采集与管理技术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围绕“双碳”目标，以“绿色通信”为主题，针对物联网或无线传感网等低功率通信网络，提出一项创新设计项目，为人们的日常生活提供更加绿色、环保、低碳的通信服务。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1.基于能量采集的智慧城市或工业控制创新性应用设计</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2.在该应用中，融合多种（两种或以上）能量采集方式的电子设备终端供电设计方案</w:t>
            </w:r>
          </w:p>
          <w:p>
            <w:pPr>
              <w:keepNext w:val="0"/>
              <w:keepLines w:val="0"/>
              <w:pageBreakBefore w:val="0"/>
              <w:widowControl w:val="0"/>
              <w:kinsoku/>
              <w:wordWrap/>
              <w:overflowPunct/>
              <w:topLinePunct w:val="0"/>
              <w:autoSpaceDE/>
              <w:autoSpaceDN/>
              <w:bidi w:val="0"/>
              <w:adjustRightInd/>
              <w:snapToGrid w:val="0"/>
              <w:spacing w:before="0" w:after="0"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3.在该应用中，提高能量使用效率和设备运行稳定性的电源管理设计方案</w:t>
            </w:r>
          </w:p>
        </w:tc>
      </w:tr>
    </w:tbl>
    <w:p>
      <w:pPr>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jc w:val="center"/>
        <w:rPr>
          <w:rFonts w:ascii="仿宋" w:hAnsi="仿宋" w:eastAsia="仿宋" w:cs="仿宋_GB2312"/>
          <w:b/>
          <w:bCs/>
          <w:color w:val="000000"/>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主题：碳排放、碳汇的计量监测应用及解决方案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color w:val="0C0C0C"/>
                <w:kern w:val="0"/>
                <w:sz w:val="32"/>
                <w:szCs w:val="32"/>
              </w:rPr>
            </w:pPr>
            <w:r>
              <w:rPr>
                <w:rFonts w:hint="eastAsia" w:ascii="仿宋" w:hAnsi="仿宋" w:eastAsia="仿宋" w:cs="仿宋"/>
                <w:kern w:val="0"/>
                <w:sz w:val="28"/>
                <w:szCs w:val="28"/>
              </w:rPr>
              <w:t>全球及地区碳排放和碳汇的计量监测</w:t>
            </w:r>
            <w:r>
              <w:rPr>
                <w:rFonts w:hint="eastAsia" w:ascii="仿宋" w:hAnsi="仿宋" w:eastAsia="仿宋" w:cs="仿宋"/>
                <w:kern w:val="0"/>
                <w:sz w:val="28"/>
                <w:szCs w:val="28"/>
                <w:lang w:eastAsia="zh-CN"/>
              </w:rPr>
              <w:t>成为</w:t>
            </w:r>
            <w:r>
              <w:rPr>
                <w:rFonts w:hint="eastAsia" w:ascii="仿宋" w:hAnsi="仿宋" w:eastAsia="仿宋" w:cs="仿宋"/>
                <w:kern w:val="0"/>
                <w:sz w:val="28"/>
                <w:szCs w:val="28"/>
              </w:rPr>
              <w:t>评估和跟踪碳中和进程的重要手段，可以帮助国家和地区制定有效的气候政策、监督和评估减排措施的实施效果，并为国际社会合作提供基础数据。为了实现全球和地区的碳排放和碳汇的计量监测，需要开发和应用各种技术和方法。这包括遥感技术、气象观测、地面测量和模型模拟等。同时，需要依据国际标准和规范，以确保监测结果的可比性和一致性。然而，全球及地区碳排放、碳汇的计量监测仍面临一些挑战。其中之一是数据质量和评价标准问题。要准确计量排放和吸收，需要可靠的数据来源和一致性的计量标准。另一个方面是监测覆盖的不完整性，一些特殊的碳排放源和碳汇地区，如极地地区、热带雨林等，由于环境复杂性和地理位置的限制，监测工作面临更大的困难。此外，技术和方法的不断发展也需要持续</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研究和创新，以提高计量监测的准确性和效率。在有效解决上述问题的基础上，通过全球和地区的碳排放和碳汇的计量监测应用，可以更好地理解和评估人类活动对气候变化的影响，为碳减排和碳增汇方案的制定提供科学依据。并且有助于推动可持续发展和低碳经济转型，保护生态环境，改善人类福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1.大数据和人工智能在碳排放、碳汇监测中的应用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2.基于遥感技术和物联网的监测系统构建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3.碳循环模型的开发和改进</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4.碳排放和碳汇的区域特征和影响因素研究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5.碳减排和碳增汇的策略研究</w:t>
            </w:r>
          </w:p>
        </w:tc>
      </w:tr>
    </w:tbl>
    <w:p>
      <w:pPr>
        <w:widowControl/>
        <w:jc w:val="center"/>
        <w:rPr>
          <w:rFonts w:ascii="仿宋" w:hAnsi="仿宋" w:eastAsia="仿宋" w:cs="仿宋_GB2312"/>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赛道三：电子与信息</w:t>
      </w:r>
      <w:r>
        <w:rPr>
          <w:rFonts w:hint="eastAsia" w:ascii="仿宋" w:hAnsi="仿宋" w:eastAsia="仿宋" w:cs="仿宋_GB2312"/>
          <w:b/>
          <w:bCs/>
          <w:sz w:val="32"/>
          <w:szCs w:val="32"/>
          <w:lang w:eastAsia="zh-CN"/>
        </w:rPr>
        <w:t>）</w:t>
      </w:r>
    </w:p>
    <w:tbl>
      <w:tblPr>
        <w:tblStyle w:val="20"/>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w:t>
            </w:r>
            <w:bookmarkStart w:id="4" w:name="_Hlk136447372"/>
            <w:r>
              <w:rPr>
                <w:rFonts w:hint="eastAsia" w:ascii="仿宋" w:hAnsi="仿宋" w:eastAsia="仿宋" w:cs="仿宋"/>
                <w:b/>
                <w:bCs/>
                <w:kern w:val="0"/>
                <w:sz w:val="28"/>
                <w:szCs w:val="28"/>
              </w:rPr>
              <w:t>城镇低碳智慧供热（供冷）技术</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智慧供热致力于打造基于新一代人工智能、物联网、5G</w:t>
            </w:r>
            <w:r>
              <w:rPr>
                <w:rFonts w:hint="eastAsia" w:ascii="仿宋" w:hAnsi="仿宋" w:eastAsia="仿宋" w:cs="仿宋"/>
                <w:kern w:val="0"/>
                <w:sz w:val="28"/>
                <w:szCs w:val="28"/>
                <w:lang w:eastAsia="zh-CN"/>
              </w:rPr>
              <w:t>通信以及</w:t>
            </w:r>
            <w:r>
              <w:rPr>
                <w:rFonts w:hint="eastAsia" w:ascii="仿宋" w:hAnsi="仿宋" w:eastAsia="仿宋" w:cs="仿宋"/>
                <w:kern w:val="0"/>
                <w:sz w:val="28"/>
                <w:szCs w:val="28"/>
              </w:rPr>
              <w:t>大数据、云计算等信息技术的综合解决方案。通过运用感知技术、空间定位、物联网等技术全面连接供热系统中的热源、热网、热力站、热用户和终端智能设备，充分利用大数据、云计算、人工智能等技术优化控制供热系统中的各个设备，实现节能降耗、全面管理运行；实现大数据的实时监管、量化，数据化房屋能耗诊断</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实现节能环保、能源利用率最佳的供热愿景。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智慧供热符合国家节能减排、可持续发展理念，可以最大限度</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实现节能和减少碳排放，对于能源节约和减少碳排放等方面都具有重要现实意义，可以为“碳达峰、碳中和”重大战略目标的实现提供助力。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智慧供热（供冷）系统评价体系</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2.智慧供热（供冷）系统实现技术及架构</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3.智慧供热（供冷）系统数字化平台建设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4.智慧供热（供冷）系统调控与运维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5.智慧供热（供冷）建筑能源一体化系统方案</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命题1</w:t>
      </w:r>
      <w:r>
        <w:rPr>
          <w:rFonts w:ascii="仿宋" w:hAnsi="仿宋" w:eastAsia="仿宋" w:cs="仿宋_GB2312"/>
          <w:b/>
          <w:bCs/>
          <w:sz w:val="32"/>
          <w:szCs w:val="32"/>
        </w:rPr>
        <w:t>6</w:t>
      </w:r>
      <w:r>
        <w:rPr>
          <w:rFonts w:hint="eastAsia" w:ascii="仿宋" w:hAnsi="仿宋" w:eastAsia="仿宋" w:cs="仿宋_GB2312"/>
          <w:b/>
          <w:bCs/>
          <w:sz w:val="32"/>
          <w:szCs w:val="32"/>
        </w:rPr>
        <w:t>（赛道四：设计与制造）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主题：绿色建筑（室内）与智慧科技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建筑在中国社会总能耗中的占比可达到30%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w:t>
            </w:r>
            <w:r>
              <w:rPr>
                <w:rFonts w:hint="eastAsia" w:ascii="仿宋" w:hAnsi="仿宋" w:eastAsia="仿宋" w:cs="仿宋"/>
                <w:kern w:val="0"/>
                <w:sz w:val="28"/>
                <w:szCs w:val="28"/>
                <w:lang w:eastAsia="zh-CN"/>
              </w:rPr>
              <w:t>地</w:t>
            </w:r>
            <w:r>
              <w:rPr>
                <w:rFonts w:hint="eastAsia" w:ascii="仿宋" w:hAnsi="仿宋" w:eastAsia="仿宋" w:cs="仿宋"/>
                <w:kern w:val="0"/>
                <w:sz w:val="28"/>
                <w:szCs w:val="28"/>
              </w:rPr>
              <w:t>解决建筑节能减排问题，从而实现建筑领域的“双碳”目标呢？</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拟通过本主题，合众之力，结合智慧科技，推动绿色建筑技术的发展，帮助建筑节能减排问题的解决，助力零碳建筑的实现。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en-US" w:eastAsia="zh-CN"/>
              </w:rPr>
              <w:t>设计需结合节能减排量化分析</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1.智慧节能建筑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2.建筑节能设备</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3.建筑内用能的柔性调节</w:t>
            </w:r>
          </w:p>
        </w:tc>
      </w:tr>
    </w:tbl>
    <w:p>
      <w:pPr>
        <w:rPr>
          <w:rFonts w:ascii="仿宋" w:hAnsi="仿宋" w:eastAsia="仿宋" w:cs="仿宋_GB2312"/>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17</w:t>
      </w:r>
      <w:r>
        <w:rPr>
          <w:rFonts w:hint="eastAsia" w:ascii="仿宋" w:hAnsi="仿宋" w:eastAsia="仿宋" w:cs="仿宋_GB2312"/>
          <w:b/>
          <w:bCs/>
          <w:sz w:val="32"/>
          <w:szCs w:val="32"/>
        </w:rPr>
        <w:t>（赛道四：设计与制造）</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Cs/>
                <w:kern w:val="0"/>
                <w:sz w:val="32"/>
                <w:szCs w:val="32"/>
              </w:rPr>
            </w:pPr>
            <w:r>
              <w:rPr>
                <w:rFonts w:hint="eastAsia" w:ascii="仿宋" w:hAnsi="仿宋" w:eastAsia="仿宋" w:cs="仿宋"/>
                <w:b/>
                <w:bCs/>
                <w:kern w:val="0"/>
                <w:sz w:val="28"/>
                <w:szCs w:val="28"/>
              </w:rPr>
              <w:t>主题：低碳制造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实现双碳目标的策略，主要有三种：节能减排、能源替代、技术升级。各行各业节能减排是“碳达峰”的重要手段，而能源替代是“碳中和”的主要途径，技术升级则是“双碳”目标实现的关键。</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制造业是实现“双碳”目标的重要环节，我们提倡“低碳制造”。</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1.节能减排，建立产品全生命周期的碳排放模型，分析产品中的碳足迹和碳成本，从碳排放整体考虑优化产品的制造、流通等环节。</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2.能源替代，搭建绿色生产平台，比如使用太阳能、风能等新能源降低化石能源的消耗。</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3.技术升级，采用数字化、机器人、人工智能、精益制造、增材制造（3D打印）等技术对制造生产中高能耗环节进行技术改造和升级，实现减碳的目的。</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制造业包含的行业范围很大，参赛者可以结合自己熟悉的行业，从节能减排、能源替代和技术升级三个方面进行创意设计，实现低碳制造。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1.特定产品全生命周期过程中碳排量的统计、测量、定价方法，如碳足迹等</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2.特定制造行业的碳排放分析和优化技术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3.特定制造行业绿色生产制造平台技术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4.特定制造环节技术升级及其碳排放消耗对比分析</w:t>
            </w:r>
          </w:p>
        </w:tc>
      </w:tr>
    </w:tbl>
    <w:p>
      <w:pPr>
        <w:jc w:val="center"/>
        <w:rPr>
          <w:rFonts w:ascii="仿宋" w:hAnsi="仿宋" w:eastAsia="仿宋" w:cs="仿宋_GB2312"/>
          <w:b/>
          <w:bCs/>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w:t>
      </w:r>
      <w:r>
        <w:rPr>
          <w:rFonts w:ascii="仿宋" w:hAnsi="仿宋" w:eastAsia="仿宋" w:cs="仿宋_GB2312"/>
          <w:b/>
          <w:bCs/>
          <w:sz w:val="32"/>
          <w:szCs w:val="32"/>
        </w:rPr>
        <w:t>8</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主题：构筑智能化产品设计制造生产线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达标与社会生产生活密切相关。工业社会之前人类的生产生活就是一种生态低碳的方式，工业革命导致大规模社会化大生产、同时也带来行业的细分，生活必备品的生产制造也失去了手工作坊的工匠劳作模式，如集“量体</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打样</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制作”为一体的裁缝制衣，变成了“服装设计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批量加工”的服装生产方式；“根据需求</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就地取材</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特色木工细活”的家具制作过程，变成了“家具设计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部件批量定制</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集合装配”的家具生产工业；“因地制宜-因材就用</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工匠砌筑-自然装饰”的自主建房途径，变成了“专业设计师设计</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工厂构件加工</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施工队现场施工”的大规模房屋建造工业。因此也带来了巨量能耗、环境污染、破坏生态、不可持续等等问题痼疾，当人类反思，如今渴望回归之前生态低碳的生产生活状态。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慢生活境地。这样，社会生产及社会生活将彻底结束高排放高耗能的时代，最终实现双碳达标。</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为此，本</w:t>
            </w:r>
            <w:r>
              <w:rPr>
                <w:rFonts w:hint="eastAsia" w:ascii="仿宋" w:hAnsi="仿宋" w:eastAsia="仿宋" w:cs="仿宋"/>
                <w:kern w:val="0"/>
                <w:sz w:val="28"/>
                <w:szCs w:val="28"/>
                <w:lang w:val="en-US" w:eastAsia="zh-CN"/>
              </w:rPr>
              <w:t>赛题</w:t>
            </w:r>
            <w:r>
              <w:rPr>
                <w:rFonts w:hint="eastAsia" w:ascii="仿宋" w:hAnsi="仿宋" w:eastAsia="仿宋" w:cs="仿宋"/>
                <w:kern w:val="0"/>
                <w:sz w:val="28"/>
                <w:szCs w:val="28"/>
              </w:rPr>
              <w:t>要求参赛者提交建设性方案，构筑智能化产品设计制造生产线，为即将到来的智能化生产生活社会进行积极的准备。参赛者可以从衣食住行任一行业出发，构想一条产品生产线，它应该基于智能技术、应该是某一</w:t>
            </w:r>
            <w:r>
              <w:rPr>
                <w:rFonts w:hint="eastAsia" w:ascii="仿宋" w:hAnsi="仿宋" w:eastAsia="仿宋" w:cs="仿宋"/>
                <w:kern w:val="0"/>
                <w:sz w:val="28"/>
                <w:szCs w:val="28"/>
                <w:lang w:eastAsia="zh-CN"/>
              </w:rPr>
              <w:t>生活必需品</w:t>
            </w:r>
            <w:r>
              <w:rPr>
                <w:rFonts w:hint="eastAsia" w:ascii="仿宋" w:hAnsi="仿宋" w:eastAsia="仿宋" w:cs="仿宋"/>
                <w:kern w:val="0"/>
                <w:sz w:val="28"/>
                <w:szCs w:val="28"/>
              </w:rPr>
              <w:t>的设计制造全过程集约型生产线，它是一种新型的社会生产组织方式，是一种高效节能、生态环保的产品设计制造或设计建造工艺模式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设计需结合节能减排量化分析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w:t>
            </w:r>
          </w:p>
        </w:tc>
      </w:tr>
    </w:tbl>
    <w:p>
      <w:pPr>
        <w:widowControl/>
        <w:jc w:val="left"/>
        <w:rPr>
          <w:rFonts w:ascii="仿宋" w:hAnsi="仿宋" w:eastAsia="仿宋" w:cs="仿宋_GB2312"/>
          <w:sz w:val="32"/>
          <w:szCs w:val="32"/>
        </w:rPr>
      </w:pPr>
    </w:p>
    <w:p>
      <w:pPr>
        <w:widowControl/>
        <w:jc w:val="left"/>
        <w:rPr>
          <w:rFonts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pPr>
        <w:snapToGrid w:val="0"/>
        <w:spacing w:before="120" w:beforeLines="50" w:after="120" w:afterLines="50" w:line="500" w:lineRule="exact"/>
        <w:jc w:val="center"/>
        <w:rPr>
          <w:rFonts w:ascii="仿宋_GB2312" w:hAnsi="仿宋_GB2312" w:eastAsia="仿宋_GB2312" w:cs="仿宋_GB2312"/>
          <w:b/>
          <w:bCs/>
          <w:sz w:val="36"/>
          <w:szCs w:val="36"/>
        </w:rPr>
      </w:pPr>
      <w:bookmarkStart w:id="5" w:name="_Hlk137116890"/>
      <w:r>
        <w:rPr>
          <w:rFonts w:hint="eastAsia" w:ascii="仿宋" w:hAnsi="仿宋" w:eastAsia="仿宋" w:cs="仿宋_GB2312"/>
          <w:b/>
          <w:bCs/>
          <w:sz w:val="32"/>
          <w:szCs w:val="32"/>
        </w:rPr>
        <w:t>命题1</w:t>
      </w:r>
      <w:r>
        <w:rPr>
          <w:rFonts w:ascii="仿宋" w:hAnsi="仿宋" w:eastAsia="仿宋" w:cs="仿宋_GB2312"/>
          <w:b/>
          <w:bCs/>
          <w:sz w:val="32"/>
          <w:szCs w:val="32"/>
        </w:rPr>
        <w:t>9</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赛道四：设计与制造</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宋体"/>
                <w:b/>
                <w:bCs/>
                <w:kern w:val="0"/>
                <w:sz w:val="28"/>
                <w:szCs w:val="28"/>
              </w:rPr>
            </w:pPr>
            <w:r>
              <w:rPr>
                <w:rFonts w:hint="eastAsia" w:ascii="仿宋" w:hAnsi="仿宋" w:eastAsia="仿宋" w:cs="仿宋"/>
                <w:b/>
                <w:bCs/>
                <w:kern w:val="0"/>
                <w:sz w:val="28"/>
                <w:szCs w:val="28"/>
              </w:rPr>
              <w:t>主题：</w:t>
            </w:r>
            <w:bookmarkStart w:id="6" w:name="_Hlk137217351"/>
            <w:r>
              <w:rPr>
                <w:rFonts w:hint="eastAsia" w:ascii="仿宋" w:hAnsi="仿宋" w:eastAsia="仿宋" w:cs="仿宋"/>
                <w:b/>
                <w:bCs/>
                <w:kern w:val="0"/>
                <w:sz w:val="28"/>
                <w:szCs w:val="28"/>
              </w:rPr>
              <w:t>面向制冷系统节能低碳的新型装备设计与开发</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1"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CN"/>
              </w:rPr>
            </w:pPr>
            <w:r>
              <w:rPr>
                <w:rFonts w:hint="eastAsia" w:ascii="仿宋" w:hAnsi="仿宋" w:eastAsia="仿宋" w:cs="仿宋"/>
                <w:b/>
                <w:bCs/>
                <w:kern w:val="0"/>
                <w:sz w:val="28"/>
                <w:szCs w:val="28"/>
                <w:lang w:val="zh-TW"/>
              </w:rPr>
              <w:t>背景情况概述</w:t>
            </w:r>
            <w:r>
              <w:rPr>
                <w:rFonts w:hint="eastAsia" w:ascii="仿宋" w:hAnsi="仿宋" w:eastAsia="仿宋" w:cs="仿宋"/>
                <w:b/>
                <w:bCs/>
                <w:kern w:val="0"/>
                <w:sz w:val="28"/>
                <w:szCs w:val="28"/>
                <w:lang w:val="zh-TW"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建筑碳排放来源统计显示，暖通空调系统能耗占建筑总能耗的50％以上，约占社会总能耗20％以上，制冷行业的发展与空调的大面积应用造成的整体能耗水平也在不断提高，实现制冷空调行业的碳达峰乃至碳中和面临巨大挑战，同时，从整个行业生命周期的角度去分析减碳过程也至关重要。</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宋体"/>
                <w:kern w:val="0"/>
                <w:sz w:val="32"/>
                <w:szCs w:val="32"/>
              </w:rPr>
            </w:pPr>
            <w:r>
              <w:rPr>
                <w:rFonts w:hint="eastAsia" w:ascii="仿宋" w:hAnsi="仿宋" w:eastAsia="仿宋" w:cs="仿宋"/>
                <w:kern w:val="0"/>
                <w:sz w:val="28"/>
                <w:szCs w:val="28"/>
              </w:rPr>
              <w:t>拟通过本主题，合众之力，结合材料创新与节能科技，探讨制冷空调行业节能减排、助力“碳中和”的发展路线，推动行业低能耗和低碳技术的发展。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lang w:val="zh-TW"/>
              </w:rPr>
              <w:t>方向</w:t>
            </w:r>
            <w:r>
              <w:rPr>
                <w:rFonts w:hint="eastAsia" w:ascii="仿宋" w:hAnsi="仿宋" w:eastAsia="仿宋" w:cs="仿宋"/>
                <w:b/>
                <w:bCs/>
                <w:kern w:val="0"/>
                <w:sz w:val="28"/>
                <w:szCs w:val="28"/>
                <w:lang w:val="zh-TW" w:eastAsia="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1.高效冷凝器/蒸发器设计与研发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2.新型绿色工质的研发与应用</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宋体"/>
                <w:bCs/>
                <w:kern w:val="0"/>
                <w:sz w:val="32"/>
                <w:szCs w:val="32"/>
              </w:rPr>
            </w:pPr>
            <w:r>
              <w:rPr>
                <w:rFonts w:hint="eastAsia" w:ascii="仿宋" w:hAnsi="仿宋" w:eastAsia="仿宋" w:cs="仿宋"/>
                <w:kern w:val="0"/>
                <w:sz w:val="28"/>
                <w:szCs w:val="28"/>
              </w:rPr>
              <w:t>3.制冷系统节能低碳优化设计及能效提升</w:t>
            </w:r>
          </w:p>
        </w:tc>
      </w:tr>
      <w:bookmarkEnd w:id="5"/>
    </w:tbl>
    <w:p/>
    <w:p>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20</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snapToGrid w:val="0"/>
              <w:spacing w:line="580" w:lineRule="exact"/>
              <w:rPr>
                <w:rFonts w:ascii="仿宋" w:hAnsi="仿宋" w:eastAsia="仿宋" w:cs="仿宋"/>
                <w:kern w:val="0"/>
                <w:sz w:val="32"/>
                <w:szCs w:val="32"/>
              </w:rPr>
            </w:pPr>
            <w:r>
              <w:rPr>
                <w:rFonts w:hint="eastAsia" w:ascii="仿宋" w:hAnsi="仿宋" w:eastAsia="仿宋" w:cs="仿宋"/>
                <w:b/>
                <w:bCs/>
                <w:kern w:val="0"/>
                <w:sz w:val="28"/>
                <w:szCs w:val="28"/>
              </w:rPr>
              <w:t>主题：超特大城市脱碳技术与路径选择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城市是实现碳达峰、碳中和目标的主战场，目前承载中国60%的常住人口，碳排放量占中国排放总量的70%以上。然而，目前城市在实现碳达峰、碳中和上仍面临较多限制，包括空间制约、能源制约、环境制约、技术制约等多种制约因素，缺乏强有力的科技支撑与政策引导。本主题以中国超特大城市人为源碳排放演变路径与重点行业碳代谢驱动因素为切入点，探索建立中国超特大城市碳代谢驱动因素评估和碳中和路径规划的系统性技术评估框架，针对城市不同部门尤其是对城市碳排放贡献最大的行业部门开展脱碳技术与路径选择研究，探索超特大城市减污降碳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双碳目标的系统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1.超特大城市</w:t>
            </w:r>
            <w:r>
              <w:rPr>
                <w:rFonts w:hint="eastAsia" w:ascii="仿宋" w:hAnsi="仿宋" w:eastAsia="仿宋" w:cs="仿宋"/>
                <w:kern w:val="0"/>
                <w:sz w:val="28"/>
                <w:szCs w:val="28"/>
                <w:lang w:val="en-US" w:eastAsia="zh-CN"/>
              </w:rPr>
              <w:t>空间人口结构、经济发展对碳减排影响</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2.城市碳代谢</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3.脱碳技术路径</w:t>
            </w:r>
          </w:p>
        </w:tc>
      </w:tr>
    </w:tbl>
    <w:p>
      <w:pPr>
        <w:keepNext w:val="0"/>
        <w:keepLines w:val="0"/>
        <w:pageBreakBefore w:val="0"/>
        <w:widowControl w:val="0"/>
        <w:kinsoku/>
        <w:wordWrap/>
        <w:overflowPunct/>
        <w:topLinePunct w:val="0"/>
        <w:autoSpaceDE/>
        <w:autoSpaceDN/>
        <w:bidi w:val="0"/>
        <w:adjustRightInd/>
        <w:snapToGrid/>
        <w:spacing w:line="312" w:lineRule="auto"/>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kern w:val="0"/>
          <w:sz w:val="28"/>
          <w:szCs w:val="28"/>
        </w:rPr>
        <w:t>根据国务院于2014年下发的《关于调整城市规模划分标准的通知》，城区常住人口1000万以上的城市为超大城市，城区常住人口500万以上1000万以下的城市为特大城市。</w:t>
      </w:r>
    </w:p>
    <w:p>
      <w:pPr>
        <w:snapToGrid w:val="0"/>
        <w:spacing w:line="58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21</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tcPr>
          <w:p>
            <w:pPr>
              <w:snapToGrid w:val="0"/>
              <w:spacing w:line="580" w:lineRule="exact"/>
              <w:rPr>
                <w:rFonts w:ascii="仿宋" w:hAnsi="仿宋" w:eastAsia="仿宋" w:cs="仿宋"/>
                <w:b/>
                <w:bCs/>
                <w:kern w:val="0"/>
                <w:sz w:val="32"/>
                <w:szCs w:val="32"/>
              </w:rPr>
            </w:pPr>
            <w:r>
              <w:rPr>
                <w:rFonts w:hint="eastAsia" w:ascii="仿宋" w:hAnsi="仿宋" w:eastAsia="仿宋" w:cs="仿宋"/>
                <w:b/>
                <w:bCs/>
                <w:kern w:val="0"/>
                <w:sz w:val="28"/>
                <w:szCs w:val="28"/>
                <w:highlight w:val="none"/>
              </w:rPr>
              <w:t>主题：城市低碳建筑能源数字化转型技术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为碳减排优化粗、碳数据融合低、碳评估审计差等问题，且核心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1.低碳建筑能源解决方案</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2.建筑能源系统数字孪生技术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3.建筑能源碳评估、碳管理技术</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4.低碳建筑能源数字化转型技术</w:t>
            </w:r>
          </w:p>
        </w:tc>
      </w:tr>
    </w:tbl>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22</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主题：面向双碳目标的纺织服装企业技术、产业链联动及社会责任履行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践行绿色发展道路在资本市场和消费市场得到更多的市场认可。</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kern w:val="0"/>
                <w:sz w:val="32"/>
                <w:szCs w:val="32"/>
                <w:lang w:bidi="ar"/>
              </w:rPr>
            </w:pPr>
            <w:r>
              <w:rPr>
                <w:rFonts w:hint="eastAsia" w:ascii="仿宋" w:hAnsi="仿宋" w:eastAsia="仿宋" w:cs="仿宋"/>
                <w:kern w:val="0"/>
                <w:sz w:val="28"/>
                <w:szCs w:val="28"/>
              </w:rPr>
              <w:t>纺织服装行业作为传统消费品行业，国内市场规模超过2万亿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链金融项目、双碳项目投融资等，通过打通全行业信息、资金、技术、产品、物料，将在满足人民群众日益增长的美好生活需要的同时，实现可持续发展和双碳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1.主要原材料（例：聚酯纤维）的可回收技术开发以及经济性分析</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2.基于BSI碳足迹认证（CFV）进行某款碳中和产品的开发（包括技术路线、碳足迹核算、认证申请等）</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hint="eastAsia" w:ascii="仿宋" w:hAnsi="仿宋" w:eastAsia="仿宋" w:cs="仿宋"/>
                <w:kern w:val="0"/>
                <w:sz w:val="28"/>
                <w:szCs w:val="28"/>
              </w:rPr>
            </w:pPr>
            <w:r>
              <w:rPr>
                <w:rFonts w:hint="eastAsia" w:ascii="仿宋" w:hAnsi="仿宋" w:eastAsia="仿宋" w:cs="仿宋"/>
                <w:kern w:val="0"/>
                <w:sz w:val="28"/>
                <w:szCs w:val="28"/>
              </w:rPr>
              <w:t>3.基于双碳目标构建中国特色社会主义“绿色供应链</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认证体系，并开展供应链双碳审计</w:t>
            </w:r>
          </w:p>
          <w:p>
            <w:pPr>
              <w:keepNext w:val="0"/>
              <w:keepLines w:val="0"/>
              <w:pageBreakBefore w:val="0"/>
              <w:widowControl w:val="0"/>
              <w:kinsoku/>
              <w:wordWrap/>
              <w:overflowPunct/>
              <w:topLinePunct w:val="0"/>
              <w:autoSpaceDE/>
              <w:autoSpaceDN/>
              <w:bidi w:val="0"/>
              <w:adjustRightInd/>
              <w:snapToGrid/>
              <w:spacing w:line="312" w:lineRule="auto"/>
              <w:ind w:firstLine="0"/>
              <w:textAlignment w:val="auto"/>
              <w:rPr>
                <w:rFonts w:ascii="仿宋" w:hAnsi="仿宋" w:eastAsia="仿宋" w:cs="仿宋"/>
                <w:kern w:val="0"/>
                <w:sz w:val="32"/>
                <w:szCs w:val="32"/>
                <w:lang w:bidi="ar"/>
              </w:rPr>
            </w:pPr>
            <w:r>
              <w:rPr>
                <w:rFonts w:hint="eastAsia" w:ascii="仿宋" w:hAnsi="仿宋" w:eastAsia="仿宋" w:cs="仿宋"/>
                <w:kern w:val="0"/>
                <w:sz w:val="28"/>
                <w:szCs w:val="28"/>
              </w:rPr>
              <w:t>4.基于消费者需求、用户画像等大数据分析，开展“低碳消费</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、“碳中和产品”相关营销策划</w:t>
            </w:r>
          </w:p>
        </w:tc>
      </w:tr>
    </w:tbl>
    <w:p>
      <w:pPr>
        <w:rPr>
          <w:rFonts w:ascii="仿宋" w:hAnsi="仿宋" w:eastAsia="仿宋"/>
          <w:sz w:val="32"/>
          <w:szCs w:val="32"/>
        </w:rPr>
      </w:pPr>
      <w:r>
        <w:rPr>
          <w:rFonts w:ascii="仿宋" w:hAnsi="仿宋" w:eastAsia="仿宋"/>
          <w:sz w:val="32"/>
          <w:szCs w:val="32"/>
        </w:rPr>
        <w:br w:type="page"/>
      </w:r>
    </w:p>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23</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赛道五：低碳生活与生命健康</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主题：双碳战略与智能交通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排方面大有可为。在此背景下，我国的交通模式已开启绿色低碳转型，开展智慧交通建设，通过实时监测交通流量、拥堵指数、延误指数等，减少交通拥堵，提升通行效率，进而减少碳排放。同时，我国还可通过推广节能低碳可网联的交通工具，加快发展新能源和清洁能源网联车船，推广智能交通工具，做到更优质的车路协同。</w:t>
            </w:r>
          </w:p>
          <w:p>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ascii="仿宋" w:hAnsi="仿宋" w:eastAsia="仿宋" w:cs="仿宋"/>
                <w:b/>
                <w:bCs/>
                <w:kern w:val="0"/>
                <w:sz w:val="32"/>
                <w:szCs w:val="32"/>
              </w:rPr>
            </w:pPr>
            <w:r>
              <w:rPr>
                <w:rFonts w:hint="eastAsia" w:ascii="仿宋" w:hAnsi="仿宋" w:eastAsia="仿宋" w:cs="仿宋"/>
                <w:kern w:val="0"/>
                <w:sz w:val="28"/>
                <w:szCs w:val="28"/>
              </w:rPr>
              <w:t>拟通过本主题，利用智能交通和自动驾驶技术和体系，推动交通碳排放精准测算，应用新技术促进交通减排，助力双碳目标实现。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1.交通碳排放精准核算和交叉验证</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2.大规模电动车智能有序充电</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3.引导低碳出行的激励机制设计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4.共享出行的碳减排测算</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仿宋"/>
                <w:b/>
                <w:bCs/>
                <w:kern w:val="0"/>
                <w:sz w:val="32"/>
                <w:szCs w:val="32"/>
              </w:rPr>
            </w:pPr>
            <w:r>
              <w:rPr>
                <w:rFonts w:hint="eastAsia" w:ascii="仿宋" w:hAnsi="仿宋" w:eastAsia="仿宋" w:cs="仿宋"/>
                <w:kern w:val="0"/>
                <w:sz w:val="28"/>
                <w:szCs w:val="28"/>
              </w:rPr>
              <w:t>5.基于车路协同的节能车速诱导</w:t>
            </w:r>
          </w:p>
        </w:tc>
      </w:tr>
    </w:tbl>
    <w:p>
      <w:pPr>
        <w:jc w:val="center"/>
        <w:rPr>
          <w:rStyle w:val="22"/>
          <w:rFonts w:ascii="仿宋" w:hAnsi="仿宋" w:eastAsia="仿宋" w:cs="Microsoft YaHei UI"/>
          <w:color w:val="000000"/>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24</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p>
      <w:pPr>
        <w:spacing w:line="155" w:lineRule="exact"/>
        <w:rPr>
          <w:rFonts w:ascii="仿宋" w:hAnsi="仿宋" w:eastAsia="仿宋"/>
          <w:sz w:val="32"/>
          <w:szCs w:val="32"/>
        </w:rPr>
      </w:pPr>
    </w:p>
    <w:tbl>
      <w:tblPr>
        <w:tblStyle w:val="36"/>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26"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主题：生态产品价值实现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1.生态产品价值实现机制</w:t>
            </w:r>
            <w:r>
              <w:rPr>
                <w:rFonts w:hint="eastAsia" w:ascii="仿宋" w:hAnsi="仿宋" w:eastAsia="仿宋" w:cs="仿宋"/>
                <w:kern w:val="0"/>
                <w:sz w:val="28"/>
                <w:szCs w:val="28"/>
                <w:highlight w:val="none"/>
                <w:lang w:val="en-US" w:eastAsia="zh-CN"/>
              </w:rPr>
              <w:t>和</w:t>
            </w:r>
            <w:r>
              <w:rPr>
                <w:rFonts w:hint="eastAsia" w:ascii="仿宋" w:hAnsi="仿宋" w:eastAsia="仿宋" w:cs="仿宋"/>
                <w:kern w:val="0"/>
                <w:sz w:val="28"/>
                <w:szCs w:val="28"/>
                <w:highlight w:val="none"/>
              </w:rPr>
              <w:t>路径设计</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生态产品价值核算及交易机制</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低成本智慧生态园区构建</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32"/>
                <w:szCs w:val="32"/>
              </w:rPr>
            </w:pP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.国家公园</w:t>
            </w:r>
            <w:r>
              <w:rPr>
                <w:rFonts w:hint="eastAsia" w:ascii="仿宋" w:hAnsi="仿宋" w:eastAsia="仿宋" w:cs="仿宋"/>
                <w:kern w:val="0"/>
                <w:sz w:val="28"/>
                <w:szCs w:val="28"/>
                <w:highlight w:val="none"/>
                <w:lang w:eastAsia="zh-CN"/>
              </w:rPr>
              <w:t>、矿产资源、林地</w:t>
            </w:r>
            <w:r>
              <w:rPr>
                <w:rFonts w:hint="eastAsia" w:ascii="仿宋" w:hAnsi="仿宋" w:eastAsia="仿宋" w:cs="仿宋"/>
                <w:kern w:val="0"/>
                <w:sz w:val="28"/>
                <w:szCs w:val="28"/>
                <w:highlight w:val="none"/>
                <w:lang w:val="en-US" w:eastAsia="zh-CN"/>
              </w:rPr>
              <w:t>等</w:t>
            </w:r>
            <w:r>
              <w:rPr>
                <w:rFonts w:hint="eastAsia" w:ascii="仿宋" w:hAnsi="仿宋" w:eastAsia="仿宋" w:cs="仿宋"/>
                <w:kern w:val="0"/>
                <w:sz w:val="28"/>
                <w:szCs w:val="28"/>
                <w:highlight w:val="none"/>
              </w:rPr>
              <w:t>生态产品价值实现</w:t>
            </w:r>
          </w:p>
        </w:tc>
      </w:tr>
    </w:tbl>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Style w:val="22"/>
          <w:rFonts w:ascii="仿宋" w:hAnsi="仿宋" w:eastAsia="仿宋" w:cs="Microsoft YaHei UI"/>
          <w:color w:val="000000"/>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25</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主题：碳金融驱动产业绿色转型升级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双碳目标下产业转型发展错综复杂，需要庞大资金供给与多元金融工具支持。碳金融旨在通过金融市场解决全球温室气体减排问题，推动可持续发展。它包括碳交易、碳资产投资、碳信贷和碳保险等多个领域。碳金融的实质是将减排资源的所有权和使用权进行分离，通过市场机制实现碳减排目标。</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目前上海等地已经形成了多层次绿色金融组织机构体系、多元化绿色金融产品和服务体系、多渠道绿色产融结合和产业转型的市场平台体系。通过碳市场激励企业加大减排投入，反哺行业发展、产业发展。碳金融与产业绿色转型之间形成了怎样的关系？双碳目标下的金融创新如何更好地服务于产业绿色转型？拟通过本主题，探讨碳金融赋能农业、工业、服务业绿色转型升级的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1.生态银行建设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2.ESG表现评价体系建设</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3.碳金融与新能源产业</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4.碳金融与乡村振兴</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5.绿色融资租赁</w:t>
            </w:r>
          </w:p>
        </w:tc>
      </w:tr>
    </w:tbl>
    <w:p>
      <w:pPr>
        <w:snapToGrid w:val="0"/>
        <w:spacing w:before="120" w:beforeLines="50" w:after="120" w:afterLines="50" w:line="500" w:lineRule="exact"/>
        <w:jc w:val="center"/>
        <w:rPr>
          <w:rFonts w:ascii="仿宋" w:hAnsi="仿宋" w:eastAsia="仿宋" w:cs="仿宋_GB2312"/>
          <w:b/>
          <w:bCs/>
          <w:sz w:val="32"/>
          <w:szCs w:val="32"/>
        </w:rPr>
      </w:pPr>
    </w:p>
    <w:p>
      <w:pPr>
        <w:widowControl/>
        <w:jc w:val="left"/>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hint="eastAsia" w:ascii="仿宋" w:hAnsi="仿宋" w:eastAsia="仿宋" w:cs="仿宋_GB2312"/>
          <w:b/>
          <w:bCs/>
          <w:sz w:val="32"/>
          <w:szCs w:val="32"/>
        </w:rPr>
        <w:t>命题2</w:t>
      </w:r>
      <w:r>
        <w:rPr>
          <w:rFonts w:ascii="仿宋" w:hAnsi="仿宋" w:eastAsia="仿宋" w:cs="仿宋_GB2312"/>
          <w:b/>
          <w:bCs/>
          <w:sz w:val="32"/>
          <w:szCs w:val="32"/>
        </w:rPr>
        <w:t>6</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pPr>
              <w:keepNext w:val="0"/>
              <w:keepLines w:val="0"/>
              <w:pageBreakBefore w:val="0"/>
              <w:widowControl w:val="0"/>
              <w:kinsoku/>
              <w:wordWrap/>
              <w:overflowPunct/>
              <w:topLinePunct w:val="0"/>
              <w:autoSpaceDE/>
              <w:autoSpaceDN/>
              <w:bidi w:val="0"/>
              <w:adjustRightInd/>
              <w:snapToGrid w:val="0"/>
              <w:spacing w:before="0" w:beforeLines="50" w:after="0" w:afterLines="50" w:line="240" w:lineRule="auto"/>
              <w:textAlignment w:val="auto"/>
              <w:rPr>
                <w:rFonts w:ascii="仿宋" w:hAnsi="仿宋" w:eastAsia="仿宋" w:cs="仿宋"/>
                <w:b/>
                <w:bCs/>
                <w:kern w:val="0"/>
                <w:sz w:val="32"/>
                <w:szCs w:val="32"/>
              </w:rPr>
            </w:pPr>
            <w:r>
              <w:rPr>
                <w:rFonts w:hint="eastAsia" w:ascii="仿宋" w:hAnsi="仿宋" w:eastAsia="仿宋" w:cs="仿宋"/>
                <w:b/>
                <w:bCs/>
                <w:kern w:val="0"/>
                <w:sz w:val="28"/>
                <w:szCs w:val="28"/>
              </w:rPr>
              <w:t>主题：企业碳排放信息披露的治理机制创新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作为社会的基本生产单元，企业是温室气体的基本排放源，也是政府减排行动的重要参与者。高质量的企业碳排放信息披露对于实现“双碳”目标意义重大，有利于帮助企业</w:t>
            </w:r>
            <w:r>
              <w:rPr>
                <w:rFonts w:hint="eastAsia" w:ascii="仿宋" w:hAnsi="仿宋" w:eastAsia="仿宋" w:cs="仿宋"/>
                <w:kern w:val="0"/>
                <w:sz w:val="28"/>
                <w:szCs w:val="28"/>
                <w:lang w:eastAsia="zh-CN"/>
              </w:rPr>
              <w:t>增强</w:t>
            </w:r>
            <w:r>
              <w:rPr>
                <w:rFonts w:hint="eastAsia" w:ascii="仿宋" w:hAnsi="仿宋" w:eastAsia="仿宋" w:cs="仿宋"/>
                <w:kern w:val="0"/>
                <w:sz w:val="28"/>
                <w:szCs w:val="28"/>
              </w:rPr>
              <w:t>气候风险管理的意识、能力，以及充分发挥碳交易市场的作用。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w:t>
            </w:r>
            <w:r>
              <w:rPr>
                <w:rFonts w:hint="eastAsia" w:ascii="仿宋" w:hAnsi="仿宋" w:eastAsia="仿宋" w:cs="仿宋"/>
                <w:kern w:val="0"/>
                <w:sz w:val="28"/>
                <w:szCs w:val="28"/>
                <w:lang w:eastAsia="zh-CN"/>
              </w:rPr>
              <w:t>披露</w:t>
            </w:r>
            <w:r>
              <w:rPr>
                <w:rFonts w:hint="eastAsia" w:ascii="仿宋" w:hAnsi="仿宋" w:eastAsia="仿宋" w:cs="仿宋"/>
                <w:kern w:val="0"/>
                <w:sz w:val="28"/>
                <w:szCs w:val="28"/>
              </w:rPr>
              <w:t>缺乏督促企业客观、准确披露碳排放信息的动力。</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如何通过经济学、管理学、环境科学和人工智能等多学科交叉融合，创新性解决单个企业和上下游产业链的碳排放信息披露问题，促进企业碳中和转型，积极参与到碳排放市场交易，促进双碳目标实现。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1.企业碳排放信息披露标准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2.企业碳排放信息披露评估</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3.企业碳排放信息披露的激励与约束机制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kern w:val="0"/>
                <w:sz w:val="32"/>
                <w:szCs w:val="32"/>
              </w:rPr>
            </w:pPr>
            <w:r>
              <w:rPr>
                <w:rFonts w:hint="eastAsia" w:ascii="仿宋" w:hAnsi="仿宋" w:eastAsia="仿宋" w:cs="仿宋"/>
                <w:kern w:val="0"/>
                <w:sz w:val="28"/>
                <w:szCs w:val="28"/>
              </w:rPr>
              <w:t>4.企业碳排放信息披露的区块链应用</w:t>
            </w:r>
          </w:p>
        </w:tc>
      </w:tr>
    </w:tbl>
    <w:p>
      <w:pPr>
        <w:widowControl/>
        <w:jc w:val="left"/>
        <w:rPr>
          <w:rFonts w:ascii="仿宋" w:hAnsi="仿宋" w:eastAsia="仿宋" w:cs="Times New Roman"/>
          <w:b/>
          <w:bCs/>
          <w:sz w:val="32"/>
          <w:szCs w:val="32"/>
        </w:rPr>
      </w:pPr>
      <w:r>
        <w:rPr>
          <w:rFonts w:ascii="仿宋" w:hAnsi="仿宋" w:eastAsia="仿宋" w:cs="Times New Roman"/>
          <w:b/>
          <w:bCs/>
          <w:sz w:val="32"/>
          <w:szCs w:val="32"/>
        </w:rPr>
        <w:br w:type="page"/>
      </w:r>
    </w:p>
    <w:p>
      <w:pPr>
        <w:snapToGrid w:val="0"/>
        <w:spacing w:before="120" w:beforeLines="50" w:after="120" w:afterLines="50"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命题2</w:t>
      </w:r>
      <w:r>
        <w:rPr>
          <w:rFonts w:ascii="仿宋" w:hAnsi="仿宋" w:eastAsia="仿宋" w:cs="Times New Roman"/>
          <w:b/>
          <w:bCs/>
          <w:sz w:val="32"/>
          <w:szCs w:val="32"/>
        </w:rPr>
        <w:t>7</w:t>
      </w:r>
      <w:r>
        <w:rPr>
          <w:rFonts w:hint="eastAsia" w:ascii="仿宋" w:hAnsi="仿宋" w:eastAsia="仿宋" w:cs="Times New Roman"/>
          <w:b/>
          <w:bCs/>
          <w:sz w:val="32"/>
          <w:szCs w:val="32"/>
          <w:lang w:eastAsia="zh-CN"/>
        </w:rPr>
        <w:t>（</w:t>
      </w:r>
      <w:r>
        <w:rPr>
          <w:rFonts w:hint="eastAsia" w:ascii="仿宋" w:hAnsi="仿宋" w:eastAsia="仿宋" w:cs="仿宋_GB2312"/>
          <w:b/>
          <w:bCs/>
          <w:sz w:val="32"/>
          <w:szCs w:val="32"/>
        </w:rPr>
        <w:t>赛道六：政策、机制与体系创新</w:t>
      </w:r>
      <w:r>
        <w:rPr>
          <w:rFonts w:hint="eastAsia" w:ascii="仿宋" w:hAnsi="仿宋" w:eastAsia="仿宋" w:cs="仿宋_GB2312"/>
          <w:b/>
          <w:bCs/>
          <w:sz w:val="32"/>
          <w:szCs w:val="32"/>
          <w:lang w:eastAsia="zh-CN"/>
        </w:rPr>
        <w:t>）</w:t>
      </w:r>
    </w:p>
    <w:tbl>
      <w:tblPr>
        <w:tblStyle w:val="20"/>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主题：未来碳市场与人类生产生活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根据国际碳行动伙伴组织（ICAP）于2023年3月发布的《全球碳排放权交易：ICAP 2023年进展报告》，全球碳市场在多重挑战下展示了对外界冲击的弹性与韧性，在波动中稳步发展。目前中国全国碳市场覆盖下的碳排放量居世界首位。</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2020年12月生态环境部审议通过《碳排放权交易管理办法（试行）》，并于2021年2月正式实施，对碳市场建设的责任部门、气体覆盖范围、行业范围、碳交易主体、碳配额方式等作出规定，标志着我国全国性碳交易市场建设的开启。由于中国碳市场尚处于初步发展阶段，仍需向相对成熟的全球典型碳市场汲取经验。覆盖行业和温室气体范围扩大以及配额有偿分配机制的引进等将成为中国碳交易体系的未来发展趋势。而作为全国碳排放权交易市场的重要补充，温室气体自愿减排交易市场（CCER市场）已经暂停了5年多，何时启动成为当前市场最关注的话题之一。若CCER市场重启，碳市场未来走势如何？未来碳市场将如何影响行业发展与居民生活？拟通过本主题，探讨未来碳市场的发展及其对生产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1.碳普惠</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2.气候金融与气候风险量化</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3.碳定价机制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4.CCER市场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kern w:val="0"/>
                <w:sz w:val="32"/>
                <w:szCs w:val="32"/>
              </w:rPr>
            </w:pPr>
            <w:r>
              <w:rPr>
                <w:rFonts w:hint="eastAsia" w:ascii="仿宋" w:hAnsi="仿宋" w:eastAsia="仿宋" w:cs="仿宋"/>
                <w:kern w:val="0"/>
                <w:sz w:val="28"/>
                <w:szCs w:val="28"/>
              </w:rPr>
              <w:t>5.林业碳汇市场</w:t>
            </w:r>
          </w:p>
        </w:tc>
      </w:tr>
    </w:tbl>
    <w:p>
      <w:pPr>
        <w:rPr>
          <w:rFonts w:ascii="仿宋" w:hAnsi="仿宋" w:eastAsia="仿宋" w:cs="仿宋_GB2312"/>
          <w:b/>
          <w:bCs/>
          <w:sz w:val="32"/>
          <w:szCs w:val="32"/>
        </w:rPr>
      </w:pPr>
      <w:r>
        <w:rPr>
          <w:rFonts w:ascii="仿宋" w:hAnsi="仿宋" w:eastAsia="仿宋" w:cs="仿宋_GB2312"/>
          <w:b/>
          <w:bCs/>
          <w:sz w:val="32"/>
          <w:szCs w:val="32"/>
        </w:rPr>
        <w:br w:type="page"/>
      </w: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命题28</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hint="eastAsia" w:ascii="仿宋" w:hAnsi="仿宋" w:eastAsia="仿宋" w:cs="仿宋_GB2312"/>
          <w:b/>
          <w:bCs/>
          <w:sz w:val="32"/>
          <w:szCs w:val="32"/>
          <w:lang w:eastAsia="zh-CN"/>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3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spacing w:line="219" w:lineRule="auto"/>
              <w:rPr>
                <w:rFonts w:ascii="仿宋" w:hAnsi="仿宋" w:eastAsia="仿宋" w:cs="仿宋"/>
                <w:kern w:val="0"/>
                <w:sz w:val="32"/>
                <w:szCs w:val="32"/>
              </w:rPr>
            </w:pPr>
            <w:r>
              <w:rPr>
                <w:rFonts w:hint="eastAsia" w:ascii="仿宋" w:hAnsi="仿宋" w:eastAsia="仿宋" w:cs="仿宋"/>
                <w:b/>
                <w:bCs/>
                <w:kern w:val="0"/>
                <w:sz w:val="28"/>
                <w:szCs w:val="28"/>
              </w:rPr>
              <w:t>主题：种植业绿色生产和农产品低碳加工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排主要途径包括优质绿色新品种应用、节水灌溉技术、化肥农药减量增效技术，绿色高效栽培技术等。另一方面，农产品加工过程中所产生的大量的碳给环境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spacing w:val="-9"/>
                <w:kern w:val="0"/>
                <w:sz w:val="32"/>
                <w:szCs w:val="32"/>
              </w:rPr>
            </w:pPr>
            <w:r>
              <w:rPr>
                <w:rFonts w:hint="eastAsia" w:ascii="仿宋" w:hAnsi="仿宋" w:eastAsia="仿宋" w:cs="仿宋"/>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1.高产、优质、低碳品种选育</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2.绿色高效种植技术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3.化肥农药减量增效技术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4.低碳农产品生产工艺</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5.低碳农产品供应链管理方案设计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6.种植业碳核算方法学构建</w:t>
            </w:r>
          </w:p>
        </w:tc>
      </w:tr>
    </w:tbl>
    <w:p>
      <w:pPr>
        <w:rPr>
          <w:rFonts w:ascii="仿宋" w:hAnsi="仿宋" w:eastAsia="仿宋"/>
          <w:sz w:val="32"/>
          <w:szCs w:val="32"/>
        </w:rPr>
        <w:sectPr>
          <w:footerReference r:id="rId3" w:type="default"/>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命题29</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p>
      <w:pPr>
        <w:spacing w:line="20" w:lineRule="auto"/>
        <w:rPr>
          <w:rFonts w:ascii="仿宋" w:hAnsi="仿宋" w:eastAsia="仿宋"/>
          <w:sz w:val="32"/>
          <w:szCs w:val="32"/>
        </w:rPr>
      </w:pPr>
    </w:p>
    <w:tbl>
      <w:tblPr>
        <w:tblStyle w:val="36"/>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仿宋"/>
                <w:kern w:val="0"/>
                <w:sz w:val="32"/>
                <w:szCs w:val="32"/>
              </w:rPr>
            </w:pPr>
            <w:r>
              <w:rPr>
                <w:rFonts w:hint="eastAsia" w:ascii="仿宋" w:hAnsi="仿宋" w:eastAsia="仿宋" w:cs="仿宋"/>
                <w:b/>
                <w:bCs/>
                <w:kern w:val="0"/>
                <w:sz w:val="28"/>
                <w:szCs w:val="28"/>
              </w:rPr>
              <w:t>主题：养殖业减排降碳与产品设计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3"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随着“双碳”目标的明确提出，作为主要碳源的畜牧业亟须向高质量绿色低碳发展转型。从全球范围来看，畜牧业具有极大的减排潜力。到2030年，全球畜牧业系统的升级每年将贡献7.36亿吨二氧化碳当量的减排。通过在饲喂、放牧及粪便管理等方面推广使用现有的最佳规范和先进技术，畜牧部门温室气体减排可达30%。</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畜禽日粮搭配优化、粪污资源循环利用、畜禽饲养管理改善等多方面共同努力下，助力“双碳”目标的实现。此外，为了量化畜禽养殖业的碳排放，为畜禽养殖业的碳减排提供依据，寻找合适的畜禽养殖业碳排放计算方法成为目前的研究热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仿宋"/>
                <w:kern w:val="0"/>
                <w:sz w:val="32"/>
                <w:szCs w:val="32"/>
              </w:rPr>
            </w:pPr>
            <w:r>
              <w:rPr>
                <w:rFonts w:hint="eastAsia" w:ascii="仿宋" w:hAnsi="仿宋" w:eastAsia="仿宋" w:cs="仿宋"/>
                <w:kern w:val="0"/>
                <w:sz w:val="28"/>
                <w:szCs w:val="28"/>
              </w:rPr>
              <w:t>拟通过本主题，高产低排放畜禽品种改良技术、精准饲喂技术、产品低碳生产技术、畜禽粪污资源化利用技术、养殖业碳核算方法学构建等方面，推动畜牧业固碳减排，探索绿色健康型畜牧业。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1.高产低排放畜禽品种改良技术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2.精准饲喂技术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3.产品低碳生产技术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4.畜禽粪污资源化利用技术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仿宋"/>
                <w:spacing w:val="-4"/>
                <w:kern w:val="0"/>
                <w:sz w:val="32"/>
                <w:szCs w:val="32"/>
              </w:rPr>
            </w:pPr>
            <w:r>
              <w:rPr>
                <w:rFonts w:hint="eastAsia" w:ascii="仿宋" w:hAnsi="仿宋" w:eastAsia="仿宋" w:cs="仿宋"/>
                <w:kern w:val="0"/>
                <w:sz w:val="28"/>
                <w:szCs w:val="28"/>
              </w:rPr>
              <w:t>5.养殖业碳核算方法学构建</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w:t>
      </w:r>
      <w:r>
        <w:rPr>
          <w:rFonts w:ascii="仿宋" w:hAnsi="仿宋" w:eastAsia="仿宋" w:cs="仿宋_GB2312"/>
          <w:b/>
          <w:bCs/>
          <w:sz w:val="32"/>
          <w:szCs w:val="32"/>
        </w:rPr>
        <w:t>0</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3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主题：农业水土资源高效利用技术与治理方法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农业是温室气体的排放源之一，更是固碳增汇的主要贡献者。推进农业减排固碳，是我国碳达峰碳中和的重要组成部分。水土资源是农业发展的基础，农业水土资源的低碳高效利用是农业固碳减排的重要途径。</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经济系统可持续管理模式？如何构建障碍土壤治理及修复技术？如何建立低碳农田污染处理技术以及农业面源污染削减控制技术？将成为农业碳达峰碳中和实施路径的关键问题。</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2"/>
                <w:kern w:val="0"/>
                <w:sz w:val="32"/>
                <w:szCs w:val="32"/>
              </w:rPr>
            </w:pPr>
            <w:r>
              <w:rPr>
                <w:rFonts w:hint="eastAsia" w:ascii="仿宋" w:hAnsi="仿宋" w:eastAsia="仿宋" w:cs="仿宋"/>
                <w:kern w:val="0"/>
                <w:sz w:val="28"/>
                <w:szCs w:val="28"/>
              </w:rPr>
              <w:t>拟通过本主题，协同创新，探索绿色、低碳、高效的农业水土高效资源利用与治理技术，践行农业碳汇能力提升理念，实现农业绿色低碳发展生态模式。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1.节水灌溉技术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2.障碍土壤修复技术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3.农业面源污染削减方法</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4.农田生态系统水</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土</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能-碳关联分析与调控</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8"/>
                <w:kern w:val="0"/>
                <w:sz w:val="32"/>
                <w:szCs w:val="32"/>
              </w:rPr>
            </w:pPr>
            <w:r>
              <w:rPr>
                <w:rFonts w:hint="eastAsia" w:ascii="仿宋" w:hAnsi="仿宋" w:eastAsia="仿宋" w:cs="仿宋"/>
                <w:kern w:val="0"/>
                <w:sz w:val="28"/>
                <w:szCs w:val="28"/>
              </w:rPr>
              <w:t>5.农田</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生态</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经济系统可持续管理模式</w:t>
            </w:r>
          </w:p>
        </w:tc>
      </w:tr>
    </w:tbl>
    <w:p>
      <w:pPr>
        <w:rPr>
          <w:rFonts w:ascii="仿宋" w:hAnsi="仿宋" w:eastAsia="仿宋"/>
          <w:sz w:val="32"/>
          <w:szCs w:val="32"/>
        </w:rPr>
        <w:sectPr>
          <w:pgSz w:w="11907" w:h="16839"/>
          <w:pgMar w:top="1431" w:right="1785" w:bottom="1394" w:left="1785" w:header="0" w:footer="1233" w:gutter="0"/>
          <w:cols w:space="720" w:num="1"/>
        </w:sectPr>
      </w:pPr>
    </w:p>
    <w:p>
      <w:pPr>
        <w:snapToGrid w:val="0"/>
        <w:spacing w:before="120" w:beforeLines="50" w:after="120"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命题31</w:t>
      </w:r>
      <w:r>
        <w:rPr>
          <w:rFonts w:hint="eastAsia" w:ascii="仿宋" w:hAnsi="仿宋" w:eastAsia="仿宋" w:cs="仿宋_GB2312"/>
          <w:b/>
          <w:bCs/>
          <w:sz w:val="32"/>
          <w:szCs w:val="32"/>
          <w:lang w:eastAsia="zh-CN"/>
        </w:rPr>
        <w:t>（</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36"/>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ascii="仿宋" w:hAnsi="仿宋" w:eastAsia="仿宋" w:cs="Times New Roman"/>
                <w:kern w:val="0"/>
                <w:sz w:val="32"/>
                <w:szCs w:val="32"/>
              </w:rPr>
            </w:pPr>
            <w:r>
              <w:rPr>
                <w:rFonts w:hint="eastAsia" w:ascii="仿宋" w:hAnsi="仿宋" w:eastAsia="仿宋" w:cs="仿宋"/>
                <w:b/>
                <w:bCs/>
                <w:kern w:val="0"/>
                <w:sz w:val="28"/>
                <w:szCs w:val="28"/>
              </w:rPr>
              <w:t>主题：农机节能减排与农业信息化技术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农机是促进农业生产的核心要素，然而碳排放量达20万吨/年，相当于工程机械、船舶、铁路内燃机车和飞机碳排放量的总和。因此，推广低碳节能农机装备，降低化石能源消耗和碳排放，对能源与环境具有重大意义。</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拟通过本主题，纳真知灼见</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聚学术资源，希望大家能为农机节能减排与农业信息化技术寻求新思路，为“双碳”目标的实现贡献一份智慧与力量。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8226" w:type="dxa"/>
            <w:vAlign w:val="center"/>
          </w:tcPr>
          <w:p>
            <w:pPr>
              <w:keepNext w:val="0"/>
              <w:keepLines w:val="0"/>
              <w:pageBreakBefore w:val="0"/>
              <w:widowControl w:val="0"/>
              <w:kinsoku/>
              <w:wordWrap/>
              <w:overflowPunct/>
              <w:topLinePunct w:val="0"/>
              <w:autoSpaceDE/>
              <w:autoSpaceDN/>
              <w:bidi w:val="0"/>
              <w:adjustRightInd/>
              <w:snapToGrid/>
              <w:spacing w:before="0" w:beforeLines="50" w:after="0" w:afterLines="5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1.复式、高效、电动农机装备设计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2.节种节水节能节肥节药的农机化技术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3.农业机器人应用方案设计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4.农业信息获取与决策支持系统设计</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ascii="仿宋" w:hAnsi="仿宋" w:eastAsia="仿宋" w:cs="Times New Roman"/>
                <w:spacing w:val="1"/>
                <w:kern w:val="0"/>
                <w:sz w:val="32"/>
                <w:szCs w:val="32"/>
              </w:rPr>
            </w:pPr>
            <w:r>
              <w:rPr>
                <w:rFonts w:hint="eastAsia" w:ascii="仿宋" w:hAnsi="仿宋" w:eastAsia="仿宋" w:cs="仿宋"/>
                <w:kern w:val="0"/>
                <w:sz w:val="28"/>
                <w:szCs w:val="28"/>
              </w:rPr>
              <w:t>5.农业减排固碳监测集成技术</w:t>
            </w:r>
          </w:p>
        </w:tc>
      </w:tr>
    </w:tbl>
    <w:p>
      <w:pPr>
        <w:spacing w:line="420" w:lineRule="exact"/>
        <w:rPr>
          <w:rFonts w:ascii="仿宋" w:hAnsi="仿宋" w:eastAsia="仿宋" w:cs="Times New Roman"/>
          <w:sz w:val="32"/>
          <w:szCs w:val="32"/>
        </w:rPr>
        <w:sectPr>
          <w:footerReference r:id="rId4" w:type="default"/>
          <w:pgSz w:w="11907" w:h="16839"/>
          <w:pgMar w:top="1428" w:right="1785" w:bottom="1394" w:left="1785" w:header="0" w:footer="1233" w:gutter="0"/>
          <w:cols w:space="720" w:num="1"/>
        </w:sectPr>
      </w:pPr>
    </w:p>
    <w:p>
      <w:pPr>
        <w:snapToGrid w:val="0"/>
        <w:spacing w:before="156" w:beforeLines="50" w:after="156" w:afterLines="50" w:line="500" w:lineRule="exact"/>
        <w:jc w:val="center"/>
        <w:rPr>
          <w:rFonts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lang w:val="en-US" w:eastAsia="zh-CN"/>
        </w:rPr>
        <w:t>2（</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农业生产与环境</w:t>
      </w:r>
      <w:r>
        <w:rPr>
          <w:rFonts w:hint="eastAsia" w:ascii="仿宋" w:hAnsi="仿宋" w:eastAsia="仿宋" w:cs="仿宋_GB2312"/>
          <w:b/>
          <w:bCs/>
          <w:sz w:val="32"/>
          <w:szCs w:val="32"/>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ascii="仿宋" w:hAnsi="仿宋" w:eastAsia="仿宋" w:cs="Times New Roman"/>
                <w:kern w:val="0"/>
                <w:sz w:val="32"/>
                <w:szCs w:val="32"/>
              </w:rPr>
            </w:pPr>
            <w:r>
              <w:rPr>
                <w:rFonts w:hint="eastAsia" w:ascii="仿宋" w:hAnsi="仿宋" w:eastAsia="仿宋" w:cs="仿宋"/>
                <w:b/>
                <w:bCs/>
                <w:kern w:val="0"/>
                <w:sz w:val="28"/>
                <w:szCs w:val="28"/>
              </w:rPr>
              <w:t>主题：农业减排固碳的支撑体系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ascii="仿宋" w:hAnsi="仿宋" w:eastAsia="仿宋" w:cs="Times New Roman"/>
                <w:kern w:val="0"/>
                <w:sz w:val="32"/>
                <w:szCs w:val="32"/>
              </w:rPr>
            </w:pPr>
            <w:r>
              <w:rPr>
                <w:rFonts w:hint="eastAsia" w:ascii="仿宋" w:hAnsi="仿宋" w:eastAsia="仿宋" w:cs="仿宋"/>
                <w:kern w:val="0"/>
                <w:sz w:val="28"/>
                <w:szCs w:val="28"/>
              </w:rPr>
              <w:t>拟通过本主题，探讨助力农业减排固碳的政策支撑体系、技术支撑体系等，探索农业减排固碳的实现路径。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1.农业碳汇项目管理</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2.农业废弃物综合利用技术</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3.农业减排固碳模式</w:t>
            </w:r>
            <w:r>
              <w:rPr>
                <w:rFonts w:hint="eastAsia" w:ascii="仿宋" w:hAnsi="仿宋" w:eastAsia="仿宋" w:cs="仿宋"/>
                <w:kern w:val="0"/>
                <w:sz w:val="28"/>
                <w:szCs w:val="28"/>
                <w:lang w:val="en-US" w:eastAsia="zh-CN"/>
              </w:rPr>
              <w:t>和</w:t>
            </w:r>
            <w:r>
              <w:rPr>
                <w:rFonts w:hint="eastAsia" w:ascii="仿宋" w:hAnsi="仿宋" w:eastAsia="仿宋" w:cs="仿宋"/>
                <w:kern w:val="0"/>
                <w:sz w:val="28"/>
                <w:szCs w:val="28"/>
              </w:rPr>
              <w:t>长效机制</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.农业减排固碳支撑体系</w:t>
            </w:r>
          </w:p>
          <w:p>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农村可再生能源开发利用技术</w:t>
            </w:r>
          </w:p>
        </w:tc>
      </w:tr>
    </w:tbl>
    <w:p>
      <w:pPr>
        <w:keepNext w:val="0"/>
        <w:keepLines w:val="0"/>
        <w:pageBreakBefore w:val="0"/>
        <w:widowControl w:val="0"/>
        <w:kinsoku/>
        <w:wordWrap/>
        <w:overflowPunct/>
        <w:topLinePunct w:val="0"/>
        <w:autoSpaceDE/>
        <w:autoSpaceDN/>
        <w:bidi w:val="0"/>
        <w:adjustRightInd/>
        <w:spacing w:line="240" w:lineRule="auto"/>
        <w:textAlignment w:val="auto"/>
      </w:pPr>
    </w:p>
    <w:sectPr>
      <w:footerReference r:id="rId5" w:type="default"/>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907935"/>
    </w:sdtPr>
    <w:sdtEndPr>
      <w:rPr>
        <w:rFonts w:ascii="Times New Roman" w:hAnsi="Times New Roman" w:cs="Times New Roman"/>
      </w:rPr>
    </w:sdtEndPr>
    <w:sdtContent>
      <w:p>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p>
        <w:pPr>
          <w:pStyle w:val="1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hint="eastAsia" w:ascii="Times New Roman" w:hAnsi="Times New Roman" w:eastAsia="宋体" w:cs="Times New Roman"/>
        <w:sz w:val="18"/>
        <w:szCs w:val="18"/>
        <w:lang w:val="en-US" w:eastAsia="zh-CN"/>
      </w:rPr>
    </w:pPr>
    <w:r>
      <w:rPr>
        <w:rFonts w:ascii="Times New Roman" w:hAnsi="Times New Roman" w:eastAsia="Times New Roman" w:cs="Times New Roman"/>
        <w:sz w:val="18"/>
        <w:szCs w:val="18"/>
      </w:rPr>
      <w:t>4</w:t>
    </w:r>
    <w:r>
      <w:rPr>
        <w:rFonts w:hint="eastAsia" w:ascii="Times New Roman" w:hAnsi="Times New Roman" w:eastAsia="宋体" w:cs="Times New Roman"/>
        <w:sz w:val="18"/>
        <w:szCs w:val="18"/>
        <w:lang w:val="en-US" w:eastAsia="zh-CN"/>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xMDcwODAwYWY5YmIxNzFlMWMzZjI4OTg3YjVhZjcifQ=="/>
  </w:docVars>
  <w:rsids>
    <w:rsidRoot w:val="00172A27"/>
    <w:rsid w:val="00020F65"/>
    <w:rsid w:val="00021F38"/>
    <w:rsid w:val="0003668D"/>
    <w:rsid w:val="000F5A7A"/>
    <w:rsid w:val="001046FD"/>
    <w:rsid w:val="00107A2D"/>
    <w:rsid w:val="00111538"/>
    <w:rsid w:val="002B3420"/>
    <w:rsid w:val="002C1FED"/>
    <w:rsid w:val="004F1DA7"/>
    <w:rsid w:val="00547883"/>
    <w:rsid w:val="00563402"/>
    <w:rsid w:val="0059633A"/>
    <w:rsid w:val="005E6BED"/>
    <w:rsid w:val="007F13C2"/>
    <w:rsid w:val="00822698"/>
    <w:rsid w:val="008D1CD4"/>
    <w:rsid w:val="008D63FA"/>
    <w:rsid w:val="008D6441"/>
    <w:rsid w:val="00A632CA"/>
    <w:rsid w:val="00A86E21"/>
    <w:rsid w:val="00A939FF"/>
    <w:rsid w:val="00AB3D8A"/>
    <w:rsid w:val="00BA7CA7"/>
    <w:rsid w:val="00BC311E"/>
    <w:rsid w:val="00BD0A24"/>
    <w:rsid w:val="00BF5619"/>
    <w:rsid w:val="00BF6E12"/>
    <w:rsid w:val="00C6314E"/>
    <w:rsid w:val="00CE0A6C"/>
    <w:rsid w:val="00D16B94"/>
    <w:rsid w:val="00D36286"/>
    <w:rsid w:val="00DD736C"/>
    <w:rsid w:val="00DF59EE"/>
    <w:rsid w:val="00E0274E"/>
    <w:rsid w:val="00E6688D"/>
    <w:rsid w:val="00E9691D"/>
    <w:rsid w:val="00F33E58"/>
    <w:rsid w:val="0246740F"/>
    <w:rsid w:val="03C020B7"/>
    <w:rsid w:val="04CA01F4"/>
    <w:rsid w:val="064A71A6"/>
    <w:rsid w:val="06777E5C"/>
    <w:rsid w:val="086F6467"/>
    <w:rsid w:val="08ED6A84"/>
    <w:rsid w:val="0E14727F"/>
    <w:rsid w:val="104F015C"/>
    <w:rsid w:val="10F85276"/>
    <w:rsid w:val="11054BE6"/>
    <w:rsid w:val="138D2581"/>
    <w:rsid w:val="186C1827"/>
    <w:rsid w:val="18F325A1"/>
    <w:rsid w:val="23031BE1"/>
    <w:rsid w:val="297E3E76"/>
    <w:rsid w:val="30106D9A"/>
    <w:rsid w:val="323D5BFB"/>
    <w:rsid w:val="34727975"/>
    <w:rsid w:val="3795295C"/>
    <w:rsid w:val="3D8D41FB"/>
    <w:rsid w:val="3E7E4099"/>
    <w:rsid w:val="411D44E5"/>
    <w:rsid w:val="419B151E"/>
    <w:rsid w:val="48385897"/>
    <w:rsid w:val="48473577"/>
    <w:rsid w:val="50A455F1"/>
    <w:rsid w:val="51B8714D"/>
    <w:rsid w:val="53012B5D"/>
    <w:rsid w:val="539757E8"/>
    <w:rsid w:val="5714649F"/>
    <w:rsid w:val="57E54095"/>
    <w:rsid w:val="5DC53766"/>
    <w:rsid w:val="5E2B1A95"/>
    <w:rsid w:val="5E3420D3"/>
    <w:rsid w:val="640B5BE5"/>
    <w:rsid w:val="654F500E"/>
    <w:rsid w:val="684E0993"/>
    <w:rsid w:val="6FFB6060"/>
    <w:rsid w:val="72376BF2"/>
    <w:rsid w:val="78997F43"/>
    <w:rsid w:val="7AED7BDE"/>
    <w:rsid w:val="7B2233D2"/>
    <w:rsid w:val="7CCD733A"/>
    <w:rsid w:val="7DA8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unhideWhenUsed/>
    <w:qFormat/>
    <w:uiPriority w:val="39"/>
    <w:pPr>
      <w:ind w:left="1260"/>
      <w:jc w:val="left"/>
    </w:pPr>
    <w:rPr>
      <w:rFonts w:eastAsiaTheme="minorHAnsi"/>
      <w:sz w:val="20"/>
      <w:szCs w:val="20"/>
    </w:rPr>
  </w:style>
  <w:style w:type="paragraph" w:styleId="5">
    <w:name w:val="annotation text"/>
    <w:basedOn w:val="1"/>
    <w:link w:val="27"/>
    <w:autoRedefine/>
    <w:semiHidden/>
    <w:unhideWhenUsed/>
    <w:qFormat/>
    <w:uiPriority w:val="99"/>
    <w:pPr>
      <w:jc w:val="left"/>
    </w:pPr>
  </w:style>
  <w:style w:type="paragraph" w:styleId="6">
    <w:name w:val="toc 5"/>
    <w:basedOn w:val="1"/>
    <w:next w:val="1"/>
    <w:autoRedefine/>
    <w:semiHidden/>
    <w:unhideWhenUsed/>
    <w:qFormat/>
    <w:uiPriority w:val="39"/>
    <w:pPr>
      <w:ind w:left="840"/>
      <w:jc w:val="left"/>
    </w:pPr>
    <w:rPr>
      <w:rFonts w:eastAsiaTheme="minorHAnsi"/>
      <w:sz w:val="20"/>
      <w:szCs w:val="20"/>
    </w:rPr>
  </w:style>
  <w:style w:type="paragraph" w:styleId="7">
    <w:name w:val="toc 3"/>
    <w:basedOn w:val="1"/>
    <w:next w:val="1"/>
    <w:autoRedefine/>
    <w:semiHidden/>
    <w:unhideWhenUsed/>
    <w:qFormat/>
    <w:uiPriority w:val="39"/>
    <w:pPr>
      <w:ind w:left="420"/>
      <w:jc w:val="left"/>
    </w:pPr>
    <w:rPr>
      <w:rFonts w:eastAsiaTheme="minorHAnsi"/>
      <w:sz w:val="20"/>
      <w:szCs w:val="20"/>
    </w:rPr>
  </w:style>
  <w:style w:type="paragraph" w:styleId="8">
    <w:name w:val="toc 8"/>
    <w:basedOn w:val="1"/>
    <w:next w:val="1"/>
    <w:autoRedefine/>
    <w:semiHidden/>
    <w:unhideWhenUsed/>
    <w:qFormat/>
    <w:uiPriority w:val="39"/>
    <w:pPr>
      <w:ind w:left="1470"/>
      <w:jc w:val="left"/>
    </w:pPr>
    <w:rPr>
      <w:rFonts w:eastAsiaTheme="minorHAnsi"/>
      <w:sz w:val="20"/>
      <w:szCs w:val="20"/>
    </w:r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240" w:after="120"/>
      <w:jc w:val="left"/>
    </w:pPr>
    <w:rPr>
      <w:rFonts w:eastAsiaTheme="minorHAnsi"/>
      <w:b/>
      <w:bCs/>
      <w:sz w:val="20"/>
      <w:szCs w:val="20"/>
    </w:rPr>
  </w:style>
  <w:style w:type="paragraph" w:styleId="13">
    <w:name w:val="toc 4"/>
    <w:basedOn w:val="1"/>
    <w:next w:val="1"/>
    <w:autoRedefine/>
    <w:semiHidden/>
    <w:unhideWhenUsed/>
    <w:qFormat/>
    <w:uiPriority w:val="39"/>
    <w:pPr>
      <w:ind w:left="630"/>
      <w:jc w:val="left"/>
    </w:pPr>
    <w:rPr>
      <w:rFonts w:eastAsiaTheme="minorHAnsi"/>
      <w:sz w:val="20"/>
      <w:szCs w:val="20"/>
    </w:rPr>
  </w:style>
  <w:style w:type="paragraph" w:styleId="14">
    <w:name w:val="toc 6"/>
    <w:basedOn w:val="1"/>
    <w:next w:val="1"/>
    <w:autoRedefine/>
    <w:semiHidden/>
    <w:unhideWhenUsed/>
    <w:qFormat/>
    <w:uiPriority w:val="39"/>
    <w:pPr>
      <w:ind w:left="1050"/>
      <w:jc w:val="left"/>
    </w:pPr>
    <w:rPr>
      <w:rFonts w:eastAsiaTheme="minorHAnsi"/>
      <w:sz w:val="20"/>
      <w:szCs w:val="20"/>
    </w:rPr>
  </w:style>
  <w:style w:type="paragraph" w:styleId="15">
    <w:name w:val="toc 2"/>
    <w:basedOn w:val="1"/>
    <w:next w:val="1"/>
    <w:autoRedefine/>
    <w:unhideWhenUsed/>
    <w:qFormat/>
    <w:uiPriority w:val="39"/>
    <w:pPr>
      <w:spacing w:before="120"/>
      <w:ind w:left="210"/>
      <w:jc w:val="left"/>
    </w:pPr>
    <w:rPr>
      <w:rFonts w:eastAsiaTheme="minorHAnsi"/>
      <w:i/>
      <w:iCs/>
      <w:sz w:val="20"/>
      <w:szCs w:val="20"/>
    </w:rPr>
  </w:style>
  <w:style w:type="paragraph" w:styleId="16">
    <w:name w:val="toc 9"/>
    <w:basedOn w:val="1"/>
    <w:next w:val="1"/>
    <w:autoRedefine/>
    <w:semiHidden/>
    <w:unhideWhenUsed/>
    <w:qFormat/>
    <w:uiPriority w:val="39"/>
    <w:pPr>
      <w:ind w:left="1680"/>
      <w:jc w:val="left"/>
    </w:pPr>
    <w:rPr>
      <w:rFonts w:eastAsiaTheme="minorHAnsi"/>
      <w:sz w:val="20"/>
      <w:szCs w:val="20"/>
    </w:rPr>
  </w:style>
  <w:style w:type="paragraph" w:styleId="17">
    <w:name w:val="Normal (Web)"/>
    <w:basedOn w:val="1"/>
    <w:autoRedefine/>
    <w:qFormat/>
    <w:uiPriority w:val="0"/>
    <w:rPr>
      <w:sz w:val="24"/>
    </w:rPr>
  </w:style>
  <w:style w:type="paragraph" w:styleId="18">
    <w:name w:val="annotation subject"/>
    <w:basedOn w:val="5"/>
    <w:next w:val="5"/>
    <w:link w:val="33"/>
    <w:autoRedefine/>
    <w:semiHidden/>
    <w:unhideWhenUsed/>
    <w:qFormat/>
    <w:uiPriority w:val="99"/>
    <w:rPr>
      <w:b/>
      <w:bCs/>
    </w:rPr>
  </w:style>
  <w:style w:type="table" w:styleId="20">
    <w:name w:val="Table Grid"/>
    <w:basedOn w:val="19"/>
    <w:autoRedefine/>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Hyperlink"/>
    <w:basedOn w:val="21"/>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unhideWhenUsed/>
    <w:qFormat/>
    <w:uiPriority w:val="99"/>
    <w:rPr>
      <w:sz w:val="21"/>
      <w:szCs w:val="21"/>
    </w:rPr>
  </w:style>
  <w:style w:type="character" w:customStyle="1" w:styleId="25">
    <w:name w:val="标题 1 字符"/>
    <w:basedOn w:val="21"/>
    <w:link w:val="2"/>
    <w:autoRedefine/>
    <w:qFormat/>
    <w:uiPriority w:val="9"/>
    <w:rPr>
      <w:b/>
      <w:bCs/>
      <w:kern w:val="44"/>
      <w:sz w:val="44"/>
      <w:szCs w:val="44"/>
    </w:rPr>
  </w:style>
  <w:style w:type="character" w:customStyle="1" w:styleId="26">
    <w:name w:val="标题 2 字符"/>
    <w:basedOn w:val="21"/>
    <w:link w:val="3"/>
    <w:autoRedefine/>
    <w:qFormat/>
    <w:uiPriority w:val="9"/>
    <w:rPr>
      <w:rFonts w:asciiTheme="majorHAnsi" w:hAnsiTheme="majorHAnsi" w:eastAsiaTheme="majorEastAsia" w:cstheme="majorBidi"/>
      <w:b/>
      <w:bCs/>
      <w:sz w:val="32"/>
      <w:szCs w:val="32"/>
    </w:rPr>
  </w:style>
  <w:style w:type="character" w:customStyle="1" w:styleId="27">
    <w:name w:val="批注文字 字符"/>
    <w:basedOn w:val="21"/>
    <w:link w:val="5"/>
    <w:autoRedefine/>
    <w:semiHidden/>
    <w:qFormat/>
    <w:uiPriority w:val="99"/>
  </w:style>
  <w:style w:type="character" w:customStyle="1" w:styleId="28">
    <w:name w:val="页脚 字符"/>
    <w:basedOn w:val="21"/>
    <w:link w:val="10"/>
    <w:autoRedefine/>
    <w:qFormat/>
    <w:uiPriority w:val="99"/>
    <w:rPr>
      <w:sz w:val="18"/>
      <w:szCs w:val="18"/>
    </w:rPr>
  </w:style>
  <w:style w:type="character" w:customStyle="1" w:styleId="29">
    <w:name w:val="页眉 字符"/>
    <w:basedOn w:val="21"/>
    <w:link w:val="11"/>
    <w:autoRedefine/>
    <w:qFormat/>
    <w:uiPriority w:val="99"/>
    <w:rPr>
      <w:sz w:val="18"/>
      <w:szCs w:val="18"/>
    </w:rPr>
  </w:style>
  <w:style w:type="paragraph" w:styleId="30">
    <w:name w:val="List Paragraph"/>
    <w:basedOn w:val="1"/>
    <w:autoRedefine/>
    <w:qFormat/>
    <w:uiPriority w:val="34"/>
    <w:pPr>
      <w:ind w:firstLine="420" w:firstLineChars="200"/>
    </w:pPr>
  </w:style>
  <w:style w:type="table" w:customStyle="1" w:styleId="31">
    <w:name w:val="网格型1"/>
    <w:basedOn w:val="19"/>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33">
    <w:name w:val="批注主题 字符"/>
    <w:basedOn w:val="27"/>
    <w:link w:val="18"/>
    <w:autoRedefine/>
    <w:semiHidden/>
    <w:qFormat/>
    <w:uiPriority w:val="99"/>
    <w:rPr>
      <w:b/>
      <w:bCs/>
    </w:rPr>
  </w:style>
  <w:style w:type="character" w:customStyle="1" w:styleId="34">
    <w:name w:val="批注框文本 字符"/>
    <w:basedOn w:val="21"/>
    <w:link w:val="9"/>
    <w:autoRedefine/>
    <w:semiHidden/>
    <w:qFormat/>
    <w:uiPriority w:val="99"/>
    <w:rPr>
      <w:sz w:val="18"/>
      <w:szCs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9F8CD-2988-496C-B00E-A50E14432270}">
  <ds:schemaRefs/>
</ds:datastoreItem>
</file>

<file path=docProps/app.xml><?xml version="1.0" encoding="utf-8"?>
<Properties xmlns="http://schemas.openxmlformats.org/officeDocument/2006/extended-properties" xmlns:vt="http://schemas.openxmlformats.org/officeDocument/2006/docPropsVTypes">
  <Template>Normal</Template>
  <Pages>34</Pages>
  <Words>23136</Words>
  <Characters>23784</Characters>
  <Lines>1</Lines>
  <Paragraphs>1</Paragraphs>
  <TotalTime>3</TotalTime>
  <ScaleCrop>false</ScaleCrop>
  <LinksUpToDate>false</LinksUpToDate>
  <CharactersWithSpaces>23857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2023-06-09T07:34:00Z</dcterms:created>
  <dc:creator>li dun</dc:creator>
  <cp:lastModifiedBy>飘飞的走走</cp:lastModifiedBy>
  <dcterms:modified xsi:type="dcterms:W3CDTF">2024-06-12T03:37:56Z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0C230474E57649C1B36C50CE7A213608_13</vt:lpwstr>
  </property>
</Properties>
</file>